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6DFC" w14:textId="030A7BAF" w:rsidR="000C1EB4" w:rsidRDefault="0045697E" w:rsidP="00E978D5">
      <w:pPr>
        <w:tabs>
          <w:tab w:val="center" w:pos="4394"/>
        </w:tabs>
        <w:jc w:val="both"/>
        <w:rPr>
          <w:sz w:val="20"/>
        </w:rPr>
      </w:pPr>
      <w:r>
        <w:rPr>
          <w:noProof/>
        </w:rPr>
        <w:drawing>
          <wp:anchor distT="0" distB="0" distL="114300" distR="114300" simplePos="0" relativeHeight="251657728" behindDoc="0" locked="0" layoutInCell="1" allowOverlap="1" wp14:anchorId="69521E53" wp14:editId="55A3AC01">
            <wp:simplePos x="0" y="0"/>
            <wp:positionH relativeFrom="column">
              <wp:posOffset>2514600</wp:posOffset>
            </wp:positionH>
            <wp:positionV relativeFrom="paragraph">
              <wp:posOffset>114300</wp:posOffset>
            </wp:positionV>
            <wp:extent cx="636270" cy="701675"/>
            <wp:effectExtent l="0" t="0" r="0" b="0"/>
            <wp:wrapSquare wrapText="lef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22CA6" w14:textId="77777777" w:rsidR="000C1EB4" w:rsidRDefault="000C1EB4" w:rsidP="00E978D5">
      <w:pPr>
        <w:tabs>
          <w:tab w:val="center" w:pos="4394"/>
        </w:tabs>
        <w:jc w:val="both"/>
        <w:rPr>
          <w:sz w:val="20"/>
        </w:rPr>
      </w:pPr>
    </w:p>
    <w:p w14:paraId="78379672" w14:textId="77777777" w:rsidR="00E978D5" w:rsidRPr="00FA2EE3" w:rsidRDefault="00A93915" w:rsidP="00E978D5">
      <w:pPr>
        <w:tabs>
          <w:tab w:val="center" w:pos="4394"/>
        </w:tabs>
        <w:jc w:val="both"/>
        <w:rPr>
          <w:noProof/>
          <w:sz w:val="22"/>
        </w:rPr>
      </w:pPr>
      <w:r w:rsidRPr="00C928F8">
        <w:rPr>
          <w:b/>
        </w:rPr>
        <w:br w:type="textWrapping" w:clear="all"/>
      </w:r>
    </w:p>
    <w:p w14:paraId="079391D2" w14:textId="77777777" w:rsidR="00E978D5" w:rsidRDefault="00E978D5" w:rsidP="00BD471F">
      <w:pPr>
        <w:pStyle w:val="Pis"/>
        <w:tabs>
          <w:tab w:val="clear" w:pos="9072"/>
          <w:tab w:val="center" w:pos="4320"/>
          <w:tab w:val="center" w:pos="4394"/>
          <w:tab w:val="right" w:pos="9720"/>
        </w:tabs>
        <w:jc w:val="center"/>
        <w:outlineLvl w:val="0"/>
        <w:rPr>
          <w:noProof/>
          <w:spacing w:val="70"/>
          <w:sz w:val="44"/>
          <w:szCs w:val="44"/>
          <w:lang w:val="et-EE"/>
        </w:rPr>
      </w:pPr>
      <w:r w:rsidRPr="00FA2EE3">
        <w:rPr>
          <w:noProof/>
          <w:spacing w:val="70"/>
          <w:sz w:val="44"/>
          <w:szCs w:val="44"/>
          <w:lang w:val="et-EE"/>
        </w:rPr>
        <w:t>MÄÄRUS</w:t>
      </w:r>
    </w:p>
    <w:p w14:paraId="434DE940" w14:textId="77777777" w:rsidR="004357F5" w:rsidRPr="00FA2EE3" w:rsidRDefault="004357F5" w:rsidP="00BE1A48">
      <w:pPr>
        <w:pStyle w:val="Pis"/>
        <w:tabs>
          <w:tab w:val="clear" w:pos="9072"/>
          <w:tab w:val="center" w:pos="4320"/>
          <w:tab w:val="center" w:pos="4394"/>
        </w:tabs>
        <w:ind w:right="-567"/>
        <w:jc w:val="both"/>
        <w:rPr>
          <w:noProof/>
          <w:spacing w:val="70"/>
          <w:lang w:val="et-EE"/>
        </w:rPr>
      </w:pPr>
    </w:p>
    <w:tbl>
      <w:tblPr>
        <w:tblW w:w="9888" w:type="dxa"/>
        <w:tblLayout w:type="fixed"/>
        <w:tblLook w:val="0000" w:firstRow="0" w:lastRow="0" w:firstColumn="0" w:lastColumn="0" w:noHBand="0" w:noVBand="0"/>
      </w:tblPr>
      <w:tblGrid>
        <w:gridCol w:w="3528"/>
        <w:gridCol w:w="6360"/>
      </w:tblGrid>
      <w:tr w:rsidR="00E978D5" w:rsidRPr="00FA2EE3" w14:paraId="272C840A" w14:textId="77777777">
        <w:tc>
          <w:tcPr>
            <w:tcW w:w="3528" w:type="dxa"/>
          </w:tcPr>
          <w:p w14:paraId="1EFA0C6D" w14:textId="77777777" w:rsidR="00E978D5" w:rsidRPr="00FA2EE3" w:rsidRDefault="00E978D5" w:rsidP="00BE1A48">
            <w:pPr>
              <w:pStyle w:val="Pis"/>
              <w:spacing w:before="60" w:after="60"/>
              <w:ind w:right="-567"/>
              <w:jc w:val="both"/>
              <w:rPr>
                <w:b/>
                <w:bCs/>
                <w:lang w:val="et-EE"/>
              </w:rPr>
            </w:pPr>
            <w:r w:rsidRPr="00FA2EE3">
              <w:rPr>
                <w:b/>
                <w:bCs/>
                <w:lang w:val="et-EE"/>
              </w:rPr>
              <w:t>Kohus</w:t>
            </w:r>
          </w:p>
        </w:tc>
        <w:tc>
          <w:tcPr>
            <w:tcW w:w="6360" w:type="dxa"/>
          </w:tcPr>
          <w:p w14:paraId="79BB72B5" w14:textId="77777777" w:rsidR="00E978D5" w:rsidRPr="00FA2EE3" w:rsidRDefault="00E978D5" w:rsidP="00BE1A48">
            <w:pPr>
              <w:spacing w:before="60" w:after="60"/>
              <w:jc w:val="both"/>
            </w:pPr>
            <w:r w:rsidRPr="00FA2EE3">
              <w:t>Tallinna Halduskohus</w:t>
            </w:r>
          </w:p>
        </w:tc>
      </w:tr>
      <w:tr w:rsidR="00E978D5" w:rsidRPr="00FA2EE3" w14:paraId="12359585" w14:textId="77777777">
        <w:tc>
          <w:tcPr>
            <w:tcW w:w="3528" w:type="dxa"/>
          </w:tcPr>
          <w:p w14:paraId="71D237E4" w14:textId="77777777" w:rsidR="00E978D5" w:rsidRPr="00FA2EE3" w:rsidRDefault="005A513A" w:rsidP="00BE1A48">
            <w:pPr>
              <w:pStyle w:val="Pis"/>
              <w:spacing w:before="60" w:after="60"/>
              <w:ind w:right="-567"/>
              <w:jc w:val="both"/>
              <w:rPr>
                <w:b/>
                <w:bCs/>
                <w:lang w:val="et-EE"/>
              </w:rPr>
            </w:pPr>
            <w:r>
              <w:rPr>
                <w:b/>
                <w:bCs/>
                <w:lang w:val="et-EE"/>
              </w:rPr>
              <w:t>Kohtukoosseis</w:t>
            </w:r>
          </w:p>
        </w:tc>
        <w:tc>
          <w:tcPr>
            <w:tcW w:w="6360" w:type="dxa"/>
          </w:tcPr>
          <w:p w14:paraId="28B711E0" w14:textId="77777777" w:rsidR="00E978D5" w:rsidRPr="00FA2EE3" w:rsidRDefault="005A513A" w:rsidP="00BE1A48">
            <w:pPr>
              <w:spacing w:before="60" w:after="60"/>
              <w:jc w:val="both"/>
            </w:pPr>
            <w:r>
              <w:t>Maarja Oras, Andreas Paukštys, Kadri Sullin</w:t>
            </w:r>
          </w:p>
        </w:tc>
      </w:tr>
      <w:tr w:rsidR="00E978D5" w:rsidRPr="00FA2EE3" w14:paraId="22BDE560" w14:textId="77777777">
        <w:tc>
          <w:tcPr>
            <w:tcW w:w="3528" w:type="dxa"/>
          </w:tcPr>
          <w:p w14:paraId="2CB5CC4F" w14:textId="77777777" w:rsidR="00E978D5" w:rsidRPr="00F41B85" w:rsidRDefault="00E978D5" w:rsidP="00BE1A48">
            <w:pPr>
              <w:pStyle w:val="Pis"/>
              <w:spacing w:before="60" w:after="60"/>
              <w:ind w:right="-567"/>
              <w:jc w:val="both"/>
              <w:rPr>
                <w:b/>
                <w:bCs/>
                <w:lang w:val="et-EE"/>
              </w:rPr>
            </w:pPr>
            <w:r w:rsidRPr="00F41B85">
              <w:rPr>
                <w:b/>
                <w:bCs/>
                <w:lang w:val="et-EE"/>
              </w:rPr>
              <w:t>Määruse tegemise aeg ja koht</w:t>
            </w:r>
          </w:p>
        </w:tc>
        <w:tc>
          <w:tcPr>
            <w:tcW w:w="6360" w:type="dxa"/>
          </w:tcPr>
          <w:p w14:paraId="556BC6FE" w14:textId="4BE57DF9" w:rsidR="00E978D5" w:rsidRPr="00FA2EE3" w:rsidRDefault="00F41B85" w:rsidP="00BE1A48">
            <w:pPr>
              <w:spacing w:before="60" w:after="60"/>
              <w:jc w:val="both"/>
            </w:pPr>
            <w:r>
              <w:t>13. juuni</w:t>
            </w:r>
            <w:r w:rsidR="00422F24">
              <w:t xml:space="preserve"> 2024</w:t>
            </w:r>
            <w:r w:rsidR="00A95FA5" w:rsidRPr="00F41B85">
              <w:t>.</w:t>
            </w:r>
            <w:r w:rsidR="00A25C79" w:rsidRPr="00F41B85">
              <w:t xml:space="preserve"> </w:t>
            </w:r>
            <w:r w:rsidR="00A95FA5" w:rsidRPr="00F41B85">
              <w:t>a,</w:t>
            </w:r>
            <w:r w:rsidR="00FC431D" w:rsidRPr="00F41B85">
              <w:t xml:space="preserve"> </w:t>
            </w:r>
            <w:r w:rsidR="00E978D5" w:rsidRPr="00F41B85">
              <w:t>Tallinn</w:t>
            </w:r>
          </w:p>
        </w:tc>
      </w:tr>
      <w:tr w:rsidR="00E978D5" w:rsidRPr="00FA2EE3" w14:paraId="1863900F" w14:textId="77777777">
        <w:tc>
          <w:tcPr>
            <w:tcW w:w="3528" w:type="dxa"/>
          </w:tcPr>
          <w:p w14:paraId="6A156B50" w14:textId="77777777" w:rsidR="00E978D5" w:rsidRPr="00FA2EE3" w:rsidRDefault="00E978D5" w:rsidP="00BE1A48">
            <w:pPr>
              <w:pStyle w:val="Pis"/>
              <w:spacing w:before="60" w:after="60"/>
              <w:ind w:right="-567"/>
              <w:jc w:val="both"/>
              <w:rPr>
                <w:b/>
                <w:bCs/>
                <w:lang w:val="et-EE"/>
              </w:rPr>
            </w:pPr>
            <w:r w:rsidRPr="00FA2EE3">
              <w:rPr>
                <w:b/>
                <w:bCs/>
                <w:lang w:val="et-EE"/>
              </w:rPr>
              <w:t>Haldusasja</w:t>
            </w:r>
            <w:r w:rsidR="005A513A">
              <w:rPr>
                <w:b/>
                <w:bCs/>
                <w:lang w:val="et-EE"/>
              </w:rPr>
              <w:t>de</w:t>
            </w:r>
            <w:r w:rsidRPr="00FA2EE3">
              <w:rPr>
                <w:b/>
                <w:bCs/>
                <w:lang w:val="et-EE"/>
              </w:rPr>
              <w:t xml:space="preserve"> numb</w:t>
            </w:r>
            <w:r w:rsidR="005A513A">
              <w:rPr>
                <w:b/>
                <w:bCs/>
                <w:lang w:val="et-EE"/>
              </w:rPr>
              <w:t>rid</w:t>
            </w:r>
          </w:p>
        </w:tc>
        <w:tc>
          <w:tcPr>
            <w:tcW w:w="6360" w:type="dxa"/>
          </w:tcPr>
          <w:p w14:paraId="52C2DB4A" w14:textId="77777777" w:rsidR="00E978D5" w:rsidRPr="00FA2EE3" w:rsidRDefault="005A513A" w:rsidP="00BE1A48">
            <w:pPr>
              <w:tabs>
                <w:tab w:val="left" w:pos="1830"/>
              </w:tabs>
              <w:spacing w:before="60" w:after="60"/>
              <w:jc w:val="both"/>
            </w:pPr>
            <w:r>
              <w:t>3-24-1252, 3-24-1293 ja 3-24-1313</w:t>
            </w:r>
          </w:p>
        </w:tc>
      </w:tr>
      <w:tr w:rsidR="00E978D5" w:rsidRPr="00FA2EE3" w14:paraId="731808E0" w14:textId="77777777">
        <w:tc>
          <w:tcPr>
            <w:tcW w:w="3528" w:type="dxa"/>
          </w:tcPr>
          <w:p w14:paraId="3E9A51B0" w14:textId="77777777" w:rsidR="00E978D5" w:rsidRPr="00E571B6" w:rsidRDefault="00E978D5" w:rsidP="00BE1A48">
            <w:pPr>
              <w:pStyle w:val="Pis"/>
              <w:spacing w:before="60" w:after="60"/>
              <w:ind w:right="-567"/>
              <w:jc w:val="both"/>
              <w:rPr>
                <w:b/>
                <w:bCs/>
                <w:lang w:val="et-EE"/>
              </w:rPr>
            </w:pPr>
            <w:r w:rsidRPr="00E571B6">
              <w:rPr>
                <w:b/>
                <w:bCs/>
                <w:lang w:val="et-EE"/>
              </w:rPr>
              <w:t>Haldusasi</w:t>
            </w:r>
          </w:p>
        </w:tc>
        <w:tc>
          <w:tcPr>
            <w:tcW w:w="6360" w:type="dxa"/>
          </w:tcPr>
          <w:p w14:paraId="413C964B" w14:textId="77777777" w:rsidR="00E978D5" w:rsidRPr="00E571B6" w:rsidRDefault="005A513A" w:rsidP="00BE1A48">
            <w:pPr>
              <w:spacing w:before="60" w:after="60"/>
              <w:jc w:val="both"/>
            </w:pPr>
            <w:r w:rsidRPr="00E571B6">
              <w:t>Anu Uritam</w:t>
            </w:r>
            <w:r w:rsidR="00E571B6" w:rsidRPr="00E571B6">
              <w:t>i</w:t>
            </w:r>
            <w:r w:rsidRPr="00E571B6">
              <w:t>, Reena Nieländer</w:t>
            </w:r>
            <w:r w:rsidR="00E571B6" w:rsidRPr="00E571B6">
              <w:t>i</w:t>
            </w:r>
            <w:r w:rsidRPr="00E571B6">
              <w:t>, Merit Bobrõšev</w:t>
            </w:r>
            <w:r w:rsidR="00E571B6" w:rsidRPr="00E571B6">
              <w:t>i</w:t>
            </w:r>
            <w:r w:rsidRPr="00E571B6">
              <w:t>, Marget Henriksen</w:t>
            </w:r>
            <w:r w:rsidR="00E571B6" w:rsidRPr="00E571B6">
              <w:t>i</w:t>
            </w:r>
            <w:r w:rsidRPr="00E571B6">
              <w:t>, Mairi Heinsalu, Karin Sonntak</w:t>
            </w:r>
            <w:r w:rsidR="00E571B6" w:rsidRPr="00E571B6">
              <w:t>i</w:t>
            </w:r>
            <w:r w:rsidRPr="00E571B6">
              <w:t xml:space="preserve"> ja Janek Väli kaebus Harju Maakohtu esimehe 28.03.2024 käskkirja nr J520-9-1/28 </w:t>
            </w:r>
            <w:r w:rsidR="00E571B6" w:rsidRPr="00E571B6">
              <w:t>osaliseks tühistamiseks, ametipalga uuesti määramiseks kohustamiseks ning viivise tasumiseks</w:t>
            </w:r>
          </w:p>
          <w:p w14:paraId="4C5E8E6B" w14:textId="77777777" w:rsidR="005A513A" w:rsidRPr="00E571B6" w:rsidRDefault="005A513A" w:rsidP="005A513A">
            <w:pPr>
              <w:spacing w:before="60" w:after="60"/>
              <w:jc w:val="both"/>
            </w:pPr>
            <w:r w:rsidRPr="00E571B6">
              <w:t>Siiri Malmberg</w:t>
            </w:r>
            <w:r w:rsidR="00E571B6" w:rsidRPr="00E571B6">
              <w:t>i</w:t>
            </w:r>
            <w:r w:rsidRPr="00E571B6">
              <w:t>, Kadri Mälberg</w:t>
            </w:r>
            <w:r w:rsidR="00E571B6" w:rsidRPr="00E571B6">
              <w:t>i</w:t>
            </w:r>
            <w:r w:rsidRPr="00E571B6">
              <w:t>, Nele Seping</w:t>
            </w:r>
            <w:r w:rsidR="00E571B6" w:rsidRPr="00E571B6">
              <w:t>u</w:t>
            </w:r>
            <w:r w:rsidRPr="00E571B6">
              <w:t>, Piia Jaaksoo, Reena Undrest</w:t>
            </w:r>
            <w:r w:rsidR="00E571B6" w:rsidRPr="00E571B6">
              <w:t>i</w:t>
            </w:r>
            <w:r w:rsidRPr="00E571B6">
              <w:t>, Raina Pärn, Eve Grass</w:t>
            </w:r>
            <w:r w:rsidR="00E571B6" w:rsidRPr="00E571B6">
              <w:t>i</w:t>
            </w:r>
            <w:r w:rsidRPr="00E571B6">
              <w:t>, Indrek Nummert</w:t>
            </w:r>
            <w:r w:rsidR="00E571B6" w:rsidRPr="00E571B6">
              <w:t xml:space="preserve">i ja </w:t>
            </w:r>
            <w:r w:rsidRPr="00E571B6">
              <w:t>Leanika Tamm</w:t>
            </w:r>
            <w:r w:rsidR="00E571B6" w:rsidRPr="00E571B6">
              <w:t>e</w:t>
            </w:r>
            <w:r w:rsidRPr="00E571B6">
              <w:t xml:space="preserve"> kaebus Pärnu Maakohtu 02.04.2024 käskkirja nr J580-9-1/11 </w:t>
            </w:r>
            <w:r w:rsidR="00E571B6" w:rsidRPr="00E571B6">
              <w:t>osaliseks tühistamiseks, ametipalga uuesti määramiseks kohustamiseks ning viivise tasumiseks</w:t>
            </w:r>
          </w:p>
          <w:p w14:paraId="628A6A2C" w14:textId="77777777" w:rsidR="005A513A" w:rsidRPr="002401E4" w:rsidRDefault="005A513A" w:rsidP="005A513A">
            <w:pPr>
              <w:spacing w:before="60" w:after="60"/>
              <w:jc w:val="both"/>
            </w:pPr>
            <w:r w:rsidRPr="00E571B6">
              <w:t>Maret Hallikma, Ruth Prigoda, Reelika Lin</w:t>
            </w:r>
            <w:r w:rsidR="00E571B6" w:rsidRPr="00E571B6">
              <w:t>nu (Lind)</w:t>
            </w:r>
            <w:r w:rsidRPr="00E571B6">
              <w:t>, Pihel Sarv</w:t>
            </w:r>
            <w:r w:rsidR="00E571B6" w:rsidRPr="00E571B6">
              <w:t>e</w:t>
            </w:r>
            <w:r w:rsidRPr="00E571B6">
              <w:t>, Tiia Nurm</w:t>
            </w:r>
            <w:r w:rsidR="00E571B6" w:rsidRPr="00E571B6">
              <w:t>e</w:t>
            </w:r>
            <w:r w:rsidRPr="00E571B6">
              <w:t>, Ragne Piir</w:t>
            </w:r>
            <w:r w:rsidR="00E571B6" w:rsidRPr="00E571B6">
              <w:t>i</w:t>
            </w:r>
            <w:r w:rsidRPr="00E571B6">
              <w:t xml:space="preserve"> ja Daimar Liiv</w:t>
            </w:r>
            <w:r w:rsidR="00E571B6" w:rsidRPr="00E571B6">
              <w:t>i</w:t>
            </w:r>
            <w:r w:rsidRPr="00E571B6">
              <w:t xml:space="preserve"> kaebus Tallinna Halduskohtu 01.04.2024 käskkirja nr J530-9-1/8 </w:t>
            </w:r>
            <w:r w:rsidR="00E571B6" w:rsidRPr="00E571B6">
              <w:t>osaliseks tühistamiseks, ametipalga uuesti määramiseks kohustamiseks ning viivise tasumiseks</w:t>
            </w:r>
          </w:p>
        </w:tc>
      </w:tr>
      <w:tr w:rsidR="008E646B" w:rsidRPr="00EF3A42" w14:paraId="1A2D8496" w14:textId="77777777" w:rsidTr="005F521A">
        <w:tc>
          <w:tcPr>
            <w:tcW w:w="9888" w:type="dxa"/>
            <w:gridSpan w:val="2"/>
          </w:tcPr>
          <w:p w14:paraId="7C1972FB" w14:textId="77777777" w:rsidR="008E646B" w:rsidRPr="008E646B" w:rsidRDefault="008E646B" w:rsidP="008E646B">
            <w:pPr>
              <w:tabs>
                <w:tab w:val="left" w:pos="294"/>
                <w:tab w:val="right" w:pos="9540"/>
              </w:tabs>
              <w:spacing w:before="60" w:after="60"/>
              <w:jc w:val="both"/>
              <w:rPr>
                <w:b/>
                <w:bCs/>
              </w:rPr>
            </w:pPr>
            <w:r w:rsidRPr="008E646B">
              <w:rPr>
                <w:b/>
                <w:bCs/>
              </w:rPr>
              <w:t>RESOLUTSIOON</w:t>
            </w:r>
          </w:p>
          <w:p w14:paraId="775CFFE4" w14:textId="77777777" w:rsidR="008E646B" w:rsidRPr="008E646B" w:rsidRDefault="008E646B" w:rsidP="008E646B">
            <w:pPr>
              <w:numPr>
                <w:ilvl w:val="0"/>
                <w:numId w:val="17"/>
              </w:numPr>
              <w:tabs>
                <w:tab w:val="left" w:pos="294"/>
              </w:tabs>
              <w:spacing w:before="60" w:after="60"/>
              <w:ind w:left="284" w:hanging="284"/>
              <w:jc w:val="both"/>
              <w:rPr>
                <w:b/>
                <w:noProof/>
              </w:rPr>
            </w:pPr>
            <w:r w:rsidRPr="008E646B">
              <w:rPr>
                <w:b/>
                <w:bCs/>
              </w:rPr>
              <w:t xml:space="preserve">Võtta kaebused menetlusse. </w:t>
            </w:r>
          </w:p>
          <w:p w14:paraId="45D1BFA5" w14:textId="77777777" w:rsidR="008E646B" w:rsidRPr="008E646B" w:rsidRDefault="008E646B" w:rsidP="008E646B">
            <w:pPr>
              <w:numPr>
                <w:ilvl w:val="0"/>
                <w:numId w:val="17"/>
              </w:numPr>
              <w:tabs>
                <w:tab w:val="left" w:pos="294"/>
              </w:tabs>
              <w:spacing w:before="60" w:after="60"/>
              <w:ind w:left="284" w:hanging="284"/>
              <w:jc w:val="both"/>
              <w:rPr>
                <w:b/>
                <w:noProof/>
              </w:rPr>
            </w:pPr>
            <w:r w:rsidRPr="008E646B">
              <w:rPr>
                <w:b/>
                <w:bCs/>
              </w:rPr>
              <w:t xml:space="preserve">Liita haldusasjad nr 3-24-1252, 3-24-1293 ja 3-24-1313 ühte menetlusse. Menetletava haldusasja numbriks jääb 3-24-1252. </w:t>
            </w:r>
          </w:p>
          <w:p w14:paraId="1AB1F37C" w14:textId="77777777" w:rsidR="008E646B" w:rsidRPr="008E646B" w:rsidRDefault="008E646B" w:rsidP="008E646B">
            <w:pPr>
              <w:numPr>
                <w:ilvl w:val="0"/>
                <w:numId w:val="17"/>
              </w:numPr>
              <w:tabs>
                <w:tab w:val="left" w:pos="294"/>
              </w:tabs>
              <w:spacing w:before="60" w:after="60"/>
              <w:ind w:left="284" w:hanging="284"/>
              <w:jc w:val="both"/>
              <w:rPr>
                <w:b/>
                <w:noProof/>
              </w:rPr>
            </w:pPr>
            <w:r w:rsidRPr="008E646B">
              <w:rPr>
                <w:b/>
                <w:bCs/>
              </w:rPr>
              <w:t xml:space="preserve">Tunnistada vastustajateks Harju Maakohus, Pärnu Maakohus ja Tallinna Halduskohus. </w:t>
            </w:r>
          </w:p>
          <w:p w14:paraId="37D6AE05" w14:textId="5C60BDB9" w:rsidR="008E646B" w:rsidRPr="00326A18" w:rsidRDefault="008E646B" w:rsidP="008E646B">
            <w:pPr>
              <w:numPr>
                <w:ilvl w:val="0"/>
                <w:numId w:val="17"/>
              </w:numPr>
              <w:tabs>
                <w:tab w:val="left" w:pos="294"/>
              </w:tabs>
              <w:spacing w:before="60" w:after="60"/>
              <w:ind w:left="284" w:hanging="284"/>
              <w:jc w:val="both"/>
              <w:rPr>
                <w:b/>
                <w:noProof/>
              </w:rPr>
            </w:pPr>
            <w:r w:rsidRPr="008E646B">
              <w:rPr>
                <w:b/>
                <w:bCs/>
              </w:rPr>
              <w:t xml:space="preserve">Kaasata </w:t>
            </w:r>
            <w:r w:rsidR="00F41B85">
              <w:rPr>
                <w:b/>
                <w:bCs/>
              </w:rPr>
              <w:t xml:space="preserve">arvamuse andmiseks </w:t>
            </w:r>
            <w:r w:rsidRPr="008E646B">
              <w:rPr>
                <w:b/>
                <w:bCs/>
              </w:rPr>
              <w:t xml:space="preserve">menetlusse Rahandusministeerium ja Justiitsministeerium. </w:t>
            </w:r>
          </w:p>
          <w:p w14:paraId="41DEC4B7" w14:textId="75F02075" w:rsidR="00326A18" w:rsidRPr="008E646B" w:rsidRDefault="00CC3EE1" w:rsidP="008E646B">
            <w:pPr>
              <w:numPr>
                <w:ilvl w:val="0"/>
                <w:numId w:val="17"/>
              </w:numPr>
              <w:tabs>
                <w:tab w:val="left" w:pos="294"/>
              </w:tabs>
              <w:spacing w:before="60" w:after="60"/>
              <w:ind w:left="284" w:hanging="284"/>
              <w:jc w:val="both"/>
              <w:rPr>
                <w:b/>
                <w:noProof/>
              </w:rPr>
            </w:pPr>
            <w:r>
              <w:rPr>
                <w:b/>
                <w:bCs/>
              </w:rPr>
              <w:t xml:space="preserve">Vastustajatel ja kaasatud haldusorganitel esitada vastus </w:t>
            </w:r>
            <w:r w:rsidRPr="00F41B85">
              <w:rPr>
                <w:b/>
                <w:bCs/>
              </w:rPr>
              <w:t xml:space="preserve">kaebusele </w:t>
            </w:r>
            <w:r w:rsidRPr="00F41B85">
              <w:rPr>
                <w:b/>
                <w:bCs/>
                <w:u w:val="single"/>
              </w:rPr>
              <w:t xml:space="preserve">hiljemalt </w:t>
            </w:r>
            <w:r w:rsidR="00F41B85" w:rsidRPr="00F41B85">
              <w:rPr>
                <w:b/>
                <w:bCs/>
                <w:u w:val="single"/>
              </w:rPr>
              <w:t>09.09</w:t>
            </w:r>
            <w:r w:rsidRPr="00F41B85">
              <w:rPr>
                <w:b/>
                <w:bCs/>
                <w:u w:val="single"/>
              </w:rPr>
              <w:t>.2024.</w:t>
            </w:r>
          </w:p>
        </w:tc>
      </w:tr>
      <w:tr w:rsidR="00C45A04" w:rsidRPr="00FA2EE3" w14:paraId="4E0D9AFB" w14:textId="77777777">
        <w:tc>
          <w:tcPr>
            <w:tcW w:w="3528" w:type="dxa"/>
          </w:tcPr>
          <w:p w14:paraId="5F443BBE" w14:textId="77777777" w:rsidR="00C45A04" w:rsidRPr="00FA2EE3" w:rsidRDefault="00C45A04" w:rsidP="00BE1A48">
            <w:pPr>
              <w:pStyle w:val="Pis"/>
              <w:spacing w:before="60" w:after="60"/>
              <w:ind w:right="-567"/>
              <w:jc w:val="both"/>
              <w:rPr>
                <w:b/>
                <w:bCs/>
                <w:lang w:val="et-EE"/>
              </w:rPr>
            </w:pPr>
            <w:r w:rsidRPr="00FA2EE3">
              <w:rPr>
                <w:b/>
                <w:bCs/>
                <w:lang w:val="et-EE"/>
              </w:rPr>
              <w:t>Edasikaebamise kord</w:t>
            </w:r>
          </w:p>
        </w:tc>
        <w:tc>
          <w:tcPr>
            <w:tcW w:w="6360" w:type="dxa"/>
          </w:tcPr>
          <w:p w14:paraId="57B4CC47" w14:textId="77777777" w:rsidR="00C45A04" w:rsidRPr="00883A36" w:rsidRDefault="005A513A" w:rsidP="00BE1A48">
            <w:pPr>
              <w:spacing w:before="60" w:after="60"/>
              <w:jc w:val="both"/>
              <w:rPr>
                <w:noProof/>
              </w:rPr>
            </w:pPr>
            <w:r>
              <w:rPr>
                <w:noProof/>
              </w:rPr>
              <w:t xml:space="preserve">Määruse peale ei saa esitada määruskaebust. </w:t>
            </w:r>
          </w:p>
        </w:tc>
      </w:tr>
    </w:tbl>
    <w:p w14:paraId="7AFF6B31" w14:textId="77777777" w:rsidR="004357F5" w:rsidRDefault="004357F5" w:rsidP="00BE1A48">
      <w:pPr>
        <w:ind w:right="-567"/>
        <w:jc w:val="both"/>
        <w:rPr>
          <w:b/>
        </w:rPr>
      </w:pPr>
    </w:p>
    <w:p w14:paraId="33C0391A" w14:textId="69B6A8FF" w:rsidR="00C92F7E" w:rsidRPr="00E571B6" w:rsidRDefault="005A513A" w:rsidP="00BE1A48">
      <w:pPr>
        <w:ind w:right="-567"/>
        <w:jc w:val="both"/>
      </w:pPr>
      <w:r>
        <w:rPr>
          <w:b/>
          <w:bCs/>
        </w:rPr>
        <w:t xml:space="preserve">1. </w:t>
      </w:r>
      <w:r>
        <w:t xml:space="preserve">Harju Maakohtu esimehe 28.03.2024 käskkirjaga </w:t>
      </w:r>
      <w:r w:rsidRPr="005A513A">
        <w:t>nr J520-9-1/28</w:t>
      </w:r>
      <w:r>
        <w:t xml:space="preserve"> „</w:t>
      </w:r>
      <w:r w:rsidRPr="005A513A">
        <w:t>Kohtunike ametipalga ja lisatasude määramine</w:t>
      </w:r>
      <w:r>
        <w:t xml:space="preserve">“ </w:t>
      </w:r>
      <w:bookmarkStart w:id="0" w:name="_Hlk168603218"/>
      <w:r>
        <w:t>määrati Harju Maakohtu kohtunike ametipalgad alates 01.04.2024</w:t>
      </w:r>
      <w:r w:rsidR="00965FC2">
        <w:t xml:space="preserve"> kohtute seaduse</w:t>
      </w:r>
      <w:r>
        <w:t xml:space="preserve"> </w:t>
      </w:r>
      <w:r w:rsidR="00965FC2">
        <w:t>(</w:t>
      </w:r>
      <w:r>
        <w:t>KS</w:t>
      </w:r>
      <w:r w:rsidR="00965FC2">
        <w:t>)</w:t>
      </w:r>
      <w:r>
        <w:t xml:space="preserve"> § 12 lg 3 p 5</w:t>
      </w:r>
      <w:r w:rsidR="00E571B6">
        <w:t xml:space="preserve"> ja</w:t>
      </w:r>
      <w:r>
        <w:t xml:space="preserve"> § 75 lg-te 1-3 ning </w:t>
      </w:r>
      <w:r w:rsidR="00965FC2">
        <w:t>kõrgemate riigiteenijate ametipalkade seaduse (</w:t>
      </w:r>
      <w:r w:rsidRPr="00E571B6">
        <w:t>KRAPS</w:t>
      </w:r>
      <w:r w:rsidR="00965FC2">
        <w:t>)</w:t>
      </w:r>
      <w:r w:rsidRPr="00E571B6">
        <w:t xml:space="preserve"> § 1 lg 2 ja § 17</w:t>
      </w:r>
      <w:r w:rsidRPr="00E571B6">
        <w:rPr>
          <w:vertAlign w:val="superscript"/>
        </w:rPr>
        <w:t>2</w:t>
      </w:r>
      <w:r w:rsidRPr="00E571B6">
        <w:t xml:space="preserve"> alusel. </w:t>
      </w:r>
      <w:bookmarkEnd w:id="0"/>
    </w:p>
    <w:p w14:paraId="705B6F7C" w14:textId="77777777" w:rsidR="005A513A" w:rsidRPr="00E571B6" w:rsidRDefault="005A513A" w:rsidP="00BE1A48">
      <w:pPr>
        <w:ind w:right="-567"/>
        <w:jc w:val="both"/>
      </w:pPr>
    </w:p>
    <w:p w14:paraId="7ED0EE77" w14:textId="77777777" w:rsidR="008E646B" w:rsidRPr="00E571B6" w:rsidRDefault="005A513A" w:rsidP="00BE1A48">
      <w:pPr>
        <w:ind w:right="-567"/>
        <w:jc w:val="both"/>
      </w:pPr>
      <w:r w:rsidRPr="00E571B6">
        <w:t>Harju Maakohtu kohtunikud Anu Uritam, Reena Nieländer, Merit Bobrõšev, Marget Henriksen, Mairi Heinsalu, Karin Sonntak ja Janek Väli esitasid 28.04.2024 Tallinna Halduskohtule kaebuse Harju Maakohtu esimehe 28.03.2024 käskkirja tühistamiseks</w:t>
      </w:r>
      <w:r w:rsidR="007C0DB1" w:rsidRPr="00E571B6">
        <w:t xml:space="preserve"> osas</w:t>
      </w:r>
      <w:r w:rsidRPr="00E571B6">
        <w:t xml:space="preserve">, millega jäeti kaebajatele ametipalk täiendava 286,57 euro ulatuses määramata, ning vastustaja kohustamiseks määrata alates 01.04.2024 ametipalgaks </w:t>
      </w:r>
      <w:r w:rsidR="008E646B" w:rsidRPr="00E571B6">
        <w:t xml:space="preserve">5979,95 eurot ja tasuda vähem makstud osalt viivist. </w:t>
      </w:r>
    </w:p>
    <w:p w14:paraId="30594657" w14:textId="77777777" w:rsidR="008E646B" w:rsidRPr="00E571B6" w:rsidRDefault="008E646B" w:rsidP="00BE1A48">
      <w:pPr>
        <w:ind w:right="-567"/>
        <w:jc w:val="both"/>
      </w:pPr>
    </w:p>
    <w:p w14:paraId="6BEC3BDD" w14:textId="77777777" w:rsidR="008E646B" w:rsidRPr="00E571B6" w:rsidRDefault="008E646B" w:rsidP="00BE1A48">
      <w:pPr>
        <w:ind w:right="-567"/>
        <w:jc w:val="both"/>
      </w:pPr>
      <w:r w:rsidRPr="00E571B6">
        <w:lastRenderedPageBreak/>
        <w:t>Kaebus registreeriti kohtuasja</w:t>
      </w:r>
      <w:r w:rsidR="007C0DB1" w:rsidRPr="00E571B6">
        <w:t>na nr</w:t>
      </w:r>
      <w:r w:rsidRPr="00E571B6">
        <w:t xml:space="preserve"> 3-24-1252. </w:t>
      </w:r>
    </w:p>
    <w:p w14:paraId="60C17955" w14:textId="77777777" w:rsidR="008E646B" w:rsidRPr="00E571B6" w:rsidRDefault="008E646B" w:rsidP="00BE1A48">
      <w:pPr>
        <w:ind w:right="-567"/>
        <w:jc w:val="both"/>
      </w:pPr>
    </w:p>
    <w:p w14:paraId="79588904" w14:textId="77777777" w:rsidR="008E646B" w:rsidRPr="00E571B6" w:rsidRDefault="008E646B" w:rsidP="00BE1A48">
      <w:pPr>
        <w:ind w:right="-567"/>
        <w:jc w:val="both"/>
      </w:pPr>
      <w:r w:rsidRPr="00E571B6">
        <w:rPr>
          <w:b/>
          <w:bCs/>
        </w:rPr>
        <w:t xml:space="preserve">2. </w:t>
      </w:r>
      <w:r w:rsidRPr="00E571B6">
        <w:t>Pärnu Maakohtu esimehe 02.04.2024 käskkirjaga nr J580-9-1/11 „Kohtunike ametipalga ja lisatasude määramine“ määrati Pärnu Maakohtu kohtunike ametipalgad alates 01.04.2024 KS § 12 lg 3 p 5</w:t>
      </w:r>
      <w:r w:rsidR="00E571B6" w:rsidRPr="00E571B6">
        <w:t xml:space="preserve"> ja</w:t>
      </w:r>
      <w:r w:rsidRPr="00E571B6">
        <w:t xml:space="preserve"> § 75 lg-te 1-3 ning KRAPS § 1 lg 2 ja § 17</w:t>
      </w:r>
      <w:r w:rsidRPr="00E571B6">
        <w:rPr>
          <w:vertAlign w:val="superscript"/>
        </w:rPr>
        <w:t>2</w:t>
      </w:r>
      <w:r w:rsidRPr="00E571B6">
        <w:t xml:space="preserve"> alusel.</w:t>
      </w:r>
    </w:p>
    <w:p w14:paraId="548D682C" w14:textId="77777777" w:rsidR="007C0DB1" w:rsidRPr="00E571B6" w:rsidRDefault="007C0DB1" w:rsidP="00BE1A48">
      <w:pPr>
        <w:ind w:right="-567"/>
        <w:jc w:val="both"/>
      </w:pPr>
    </w:p>
    <w:p w14:paraId="4FE2346E" w14:textId="77777777" w:rsidR="007C0DB1" w:rsidRPr="00E571B6" w:rsidRDefault="007C0DB1" w:rsidP="00BE1A48">
      <w:pPr>
        <w:ind w:right="-567"/>
        <w:jc w:val="both"/>
      </w:pPr>
      <w:r w:rsidRPr="00E571B6">
        <w:t>Pärnu Maakohtu kohtunikud Siiri Malmberg, Kadri Mälberg, Nele Seping, Piia Jaaksoo, Reena Undrest, Raina Pärn, Eve Grass, Indrek Nummert ja Leanika Tamm esitasid 30.04.2024 Tallinna Halduskohtule kaebuse Pärnu Maakohtu esimehe 02.04.2024 käskkirja tühistamiseks osas, millega jäeti kaebajatele ametipalk täiendava 286,57 euro ulatuses määramata, ning vastustaja kohustamiseks määrata alates 01.04.2024 ametipalgaks 5979,95 eurot, v.a Raina Pärna osas, kellele määrata ametipalgaks 2989,97 eurot kuus, ja tasuda vähem makstud osalt viivist.</w:t>
      </w:r>
    </w:p>
    <w:p w14:paraId="34022EA3" w14:textId="77777777" w:rsidR="007C0DB1" w:rsidRPr="00E571B6" w:rsidRDefault="007C0DB1" w:rsidP="00BE1A48">
      <w:pPr>
        <w:ind w:right="-567"/>
        <w:jc w:val="both"/>
      </w:pPr>
    </w:p>
    <w:p w14:paraId="52C3F26A" w14:textId="77777777" w:rsidR="007C0DB1" w:rsidRPr="00E571B6" w:rsidRDefault="007C0DB1" w:rsidP="00BE1A48">
      <w:pPr>
        <w:ind w:right="-567"/>
        <w:jc w:val="both"/>
      </w:pPr>
      <w:r w:rsidRPr="00E571B6">
        <w:t>Kaebus registreeriti kohtuasjana nr 3-24-1293.</w:t>
      </w:r>
    </w:p>
    <w:p w14:paraId="4237A61F" w14:textId="77777777" w:rsidR="007C0DB1" w:rsidRPr="00E571B6" w:rsidRDefault="007C0DB1" w:rsidP="00BE1A48">
      <w:pPr>
        <w:ind w:right="-567"/>
        <w:jc w:val="both"/>
      </w:pPr>
    </w:p>
    <w:p w14:paraId="6BECD664" w14:textId="77777777" w:rsidR="00E571B6" w:rsidRPr="00E571B6" w:rsidRDefault="007C0DB1" w:rsidP="00E571B6">
      <w:pPr>
        <w:ind w:right="-567"/>
        <w:jc w:val="both"/>
      </w:pPr>
      <w:r w:rsidRPr="00E571B6">
        <w:rPr>
          <w:b/>
          <w:bCs/>
        </w:rPr>
        <w:t>3.</w:t>
      </w:r>
      <w:r w:rsidRPr="00E571B6">
        <w:t xml:space="preserve"> Tallinna Halduskohtu esimehe </w:t>
      </w:r>
      <w:r w:rsidR="00E571B6" w:rsidRPr="00E571B6">
        <w:t>01.04.2024 käskkirjaga nr J530-9-1/8 „Kohtunike ametipalga ja lisatasude määramine“ määrati Tallinna Halduskohtu kohtunike ametipalgad alates 01.04.2024 KS § 12 lg 3 p 5 ja § 75 lg-te 1-3 ning KRAPS § 1 lg 2 ja § 17</w:t>
      </w:r>
      <w:r w:rsidR="00E571B6" w:rsidRPr="00E571B6">
        <w:rPr>
          <w:vertAlign w:val="superscript"/>
        </w:rPr>
        <w:t>2</w:t>
      </w:r>
      <w:r w:rsidR="00E571B6" w:rsidRPr="00E571B6">
        <w:t xml:space="preserve"> alusel.</w:t>
      </w:r>
    </w:p>
    <w:p w14:paraId="77E9A014" w14:textId="77777777" w:rsidR="007C0DB1" w:rsidRPr="00E571B6" w:rsidRDefault="007C0DB1" w:rsidP="00BE1A48">
      <w:pPr>
        <w:ind w:right="-567"/>
        <w:jc w:val="both"/>
      </w:pPr>
    </w:p>
    <w:p w14:paraId="58AF12E1" w14:textId="77777777" w:rsidR="00E571B6" w:rsidRDefault="00E571B6" w:rsidP="00E571B6">
      <w:pPr>
        <w:ind w:right="-567"/>
        <w:jc w:val="both"/>
      </w:pPr>
      <w:r w:rsidRPr="00E571B6">
        <w:t>Tallinna Halduskohtu kohtunikud Maret Hallikma, Ruth Prigoda, Reelika Lind, Pihel Sarv, Tiia Nurm, Ragne Piir ja Daimar Liiv esitasid 02.05.2024 Tallinna Halduskohtule kaebuse Tallinna Halduskohtu esimehe 01.04.2024 käskkirja tühistamiseks osas, millega jäeti kaebajatele ametipalk täiendava 286,57 euro ulatuses määramata, ning vastustaja kohustamiseks määrata alates 01.04.2024 ametipalgaks 5979,95 eurot ja tasuda</w:t>
      </w:r>
      <w:r>
        <w:t xml:space="preserve"> vähem makstud osalt viivist. </w:t>
      </w:r>
    </w:p>
    <w:p w14:paraId="4F742611" w14:textId="77777777" w:rsidR="00C86C96" w:rsidRDefault="00C86C96" w:rsidP="00BE1A48">
      <w:pPr>
        <w:ind w:right="-567"/>
        <w:jc w:val="both"/>
      </w:pPr>
    </w:p>
    <w:p w14:paraId="35E53C55" w14:textId="77777777" w:rsidR="00E571B6" w:rsidRDefault="00E571B6" w:rsidP="00BE1A48">
      <w:pPr>
        <w:ind w:right="-567"/>
        <w:jc w:val="both"/>
      </w:pPr>
      <w:r>
        <w:t>Kaebus registreeriti kohtuasjana nr 3-24-1313.</w:t>
      </w:r>
    </w:p>
    <w:p w14:paraId="364860C5" w14:textId="77777777" w:rsidR="008E646B" w:rsidRDefault="008E646B" w:rsidP="00BE1A48">
      <w:pPr>
        <w:ind w:right="-567"/>
        <w:jc w:val="both"/>
      </w:pPr>
    </w:p>
    <w:p w14:paraId="11B541E2" w14:textId="77777777" w:rsidR="008E646B" w:rsidRDefault="008E646B" w:rsidP="00BE1A48">
      <w:pPr>
        <w:ind w:right="-567"/>
        <w:jc w:val="both"/>
      </w:pPr>
      <w:r w:rsidRPr="008E646B">
        <w:rPr>
          <w:b/>
          <w:bCs/>
        </w:rPr>
        <w:t>4.</w:t>
      </w:r>
      <w:r>
        <w:t xml:space="preserve"> Tallinna Halduskohtu esimehe 08.05.2024 määrustega kõigis kolmes asjas määrati haldusasjad </w:t>
      </w:r>
      <w:r w:rsidR="00E571B6">
        <w:t xml:space="preserve">HKMS § 11 lg 1 punktide 1-3 alusel </w:t>
      </w:r>
      <w:r>
        <w:t xml:space="preserve">lahendamiseks </w:t>
      </w:r>
      <w:r w:rsidRPr="008E646B">
        <w:t>kolmeliikmelisele kolleegiumile</w:t>
      </w:r>
      <w:r w:rsidR="007C0DB1">
        <w:t xml:space="preserve"> </w:t>
      </w:r>
      <w:r w:rsidRPr="008E646B">
        <w:t>koosseisus Maarja Oras, Andreas Paukštys ja Kadri Sullin.</w:t>
      </w:r>
    </w:p>
    <w:p w14:paraId="71AD262F" w14:textId="77777777" w:rsidR="00952B84" w:rsidRDefault="00952B84" w:rsidP="00BE1A48">
      <w:pPr>
        <w:ind w:right="-567"/>
        <w:jc w:val="both"/>
      </w:pPr>
    </w:p>
    <w:p w14:paraId="1A9EC3ED" w14:textId="77777777" w:rsidR="00952B84" w:rsidRDefault="00952B84" w:rsidP="00BE1A48">
      <w:pPr>
        <w:ind w:right="-567"/>
        <w:jc w:val="both"/>
      </w:pPr>
      <w:r>
        <w:rPr>
          <w:b/>
          <w:bCs/>
        </w:rPr>
        <w:t>5.</w:t>
      </w:r>
      <w:r>
        <w:t xml:space="preserve"> Kaebajad on esitanud kõigis kaebustes nõuded:</w:t>
      </w:r>
    </w:p>
    <w:p w14:paraId="57CF0F79" w14:textId="77777777" w:rsidR="00952B84" w:rsidRDefault="00952B84" w:rsidP="006B754F">
      <w:pPr>
        <w:numPr>
          <w:ilvl w:val="0"/>
          <w:numId w:val="19"/>
        </w:numPr>
        <w:ind w:left="284" w:right="-567" w:hanging="284"/>
        <w:jc w:val="both"/>
      </w:pPr>
      <w:r>
        <w:t xml:space="preserve">tühistada kohtu esimehe käskkiri osaliselt, s.o osas, milles kaebajatele ei määratud kõrgem ametipalk; </w:t>
      </w:r>
    </w:p>
    <w:p w14:paraId="3D916D86" w14:textId="77777777" w:rsidR="00952B84" w:rsidRDefault="00952B84" w:rsidP="006B754F">
      <w:pPr>
        <w:numPr>
          <w:ilvl w:val="0"/>
          <w:numId w:val="19"/>
        </w:numPr>
        <w:ind w:left="284" w:right="-567" w:hanging="284"/>
        <w:jc w:val="both"/>
      </w:pPr>
      <w:r>
        <w:t>kohustada kohtu esimeest määrama kõrgem ametipalk;</w:t>
      </w:r>
    </w:p>
    <w:p w14:paraId="0F237BFC" w14:textId="77777777" w:rsidR="00952B84" w:rsidRPr="00952B84" w:rsidRDefault="00952B84" w:rsidP="006B754F">
      <w:pPr>
        <w:numPr>
          <w:ilvl w:val="0"/>
          <w:numId w:val="19"/>
        </w:numPr>
        <w:ind w:left="284" w:right="-567" w:hanging="284"/>
        <w:jc w:val="both"/>
      </w:pPr>
      <w:r>
        <w:t xml:space="preserve">tasuda vähem määratud ametipalgalt viivist. </w:t>
      </w:r>
    </w:p>
    <w:p w14:paraId="5F581EE7" w14:textId="77777777" w:rsidR="00952B84" w:rsidRDefault="00952B84" w:rsidP="00BE1A48">
      <w:pPr>
        <w:ind w:right="-567"/>
        <w:jc w:val="both"/>
      </w:pPr>
    </w:p>
    <w:p w14:paraId="52A67223" w14:textId="77777777" w:rsidR="006B754F" w:rsidRDefault="006B754F" w:rsidP="00BE1A48">
      <w:pPr>
        <w:ind w:right="-567"/>
        <w:jc w:val="both"/>
      </w:pPr>
      <w:r>
        <w:t xml:space="preserve">Kohus võtab kaebused nimetatud nõuetes menetlusse. </w:t>
      </w:r>
    </w:p>
    <w:p w14:paraId="567589F9" w14:textId="77777777" w:rsidR="00952B84" w:rsidRDefault="00952B84" w:rsidP="00BE1A48">
      <w:pPr>
        <w:ind w:right="-567"/>
        <w:jc w:val="both"/>
      </w:pPr>
    </w:p>
    <w:p w14:paraId="763AE674" w14:textId="5E4DC2D4" w:rsidR="006B754F" w:rsidRPr="00E571B6" w:rsidRDefault="006B754F" w:rsidP="006B754F">
      <w:pPr>
        <w:ind w:right="-567"/>
        <w:jc w:val="both"/>
        <w:rPr>
          <w:b/>
          <w:bCs/>
        </w:rPr>
      </w:pPr>
      <w:r>
        <w:rPr>
          <w:b/>
          <w:bCs/>
        </w:rPr>
        <w:t xml:space="preserve">6. </w:t>
      </w:r>
      <w:r w:rsidRPr="00E571B6">
        <w:t>Kui sama kohtu menetluses on ühel ajal mitu asja, milles on samad pooled või milles on kaebuse esitanud üks kaebaja eri vastustajate vastu või mitu kaebajat sama vastustaja vastu, võib kohus liita kaebused ühte menetlusse tingimusel, et nende nõuded oleks võinud käesoleva seadustiku § 19 lõike 1 ja § 37 lõike 3 kohaselt esitada ühes kaebuses ning kaebuste ühine menetlemine võimaldab nende kiiremat ja lihtsamat lahendamist</w:t>
      </w:r>
      <w:r>
        <w:t xml:space="preserve"> (HKMS § 48 lg 1)</w:t>
      </w:r>
      <w:r w:rsidRPr="00E571B6">
        <w:t>.</w:t>
      </w:r>
      <w:r>
        <w:t xml:space="preserve"> </w:t>
      </w:r>
    </w:p>
    <w:p w14:paraId="4CA7D78B" w14:textId="77777777" w:rsidR="006B754F" w:rsidRDefault="006B754F" w:rsidP="006B754F">
      <w:pPr>
        <w:ind w:right="-567"/>
        <w:jc w:val="both"/>
      </w:pPr>
    </w:p>
    <w:p w14:paraId="5E04BC72" w14:textId="178606F5" w:rsidR="006B754F" w:rsidRDefault="006B754F" w:rsidP="006B754F">
      <w:pPr>
        <w:ind w:right="-567"/>
        <w:jc w:val="both"/>
      </w:pPr>
      <w:r>
        <w:t xml:space="preserve">Kuigi käesolevas asjas on formaalselt vaidlustatud kolm erinevat haldusakti, mille on andnud erinevad kohtud, on nii käskkirjad ise kui ka kaebused väga sarnased või põhivaidluspunktides lausa identsed. Vaidlus taandub KRAPS </w:t>
      </w:r>
      <w:r w:rsidRPr="00E571B6">
        <w:t>§ 17</w:t>
      </w:r>
      <w:r w:rsidRPr="00E571B6">
        <w:rPr>
          <w:vertAlign w:val="superscript"/>
        </w:rPr>
        <w:t>2</w:t>
      </w:r>
      <w:r w:rsidRPr="00E571B6">
        <w:t xml:space="preserve"> </w:t>
      </w:r>
      <w:r>
        <w:t>põhiseaduspärasuse küsimus</w:t>
      </w:r>
      <w:r w:rsidR="0041570A">
        <w:t>ele</w:t>
      </w:r>
      <w:r>
        <w:t xml:space="preserve">. Kaebuste ühine menetlemine võimaldab nende kiiremat ja lihtsamat lahendamist. </w:t>
      </w:r>
    </w:p>
    <w:p w14:paraId="76BE5028" w14:textId="77777777" w:rsidR="006B754F" w:rsidRDefault="006B754F" w:rsidP="006B754F">
      <w:pPr>
        <w:ind w:right="-567"/>
        <w:jc w:val="both"/>
      </w:pPr>
    </w:p>
    <w:p w14:paraId="7E15FA33" w14:textId="68381B40" w:rsidR="006B754F" w:rsidRDefault="006B754F" w:rsidP="006B754F">
      <w:pPr>
        <w:ind w:right="-567"/>
        <w:jc w:val="both"/>
      </w:pPr>
      <w:r>
        <w:t xml:space="preserve">Eeltoodust tulenevalt liidab kohus kaebused ühte menetlusse ning asja numbriks jääb varaseima haldusasja </w:t>
      </w:r>
      <w:r w:rsidR="00481CA4">
        <w:t xml:space="preserve">number </w:t>
      </w:r>
      <w:r>
        <w:t xml:space="preserve">3-24-1252. </w:t>
      </w:r>
    </w:p>
    <w:p w14:paraId="2C2C777B" w14:textId="77777777" w:rsidR="006B754F" w:rsidRDefault="006B754F" w:rsidP="006B754F">
      <w:pPr>
        <w:ind w:right="-567"/>
        <w:jc w:val="both"/>
      </w:pPr>
    </w:p>
    <w:p w14:paraId="40F07463" w14:textId="77777777" w:rsidR="006B754F" w:rsidRDefault="006B754F" w:rsidP="006B754F">
      <w:pPr>
        <w:ind w:right="-567"/>
        <w:jc w:val="both"/>
      </w:pPr>
      <w:r>
        <w:rPr>
          <w:b/>
          <w:bCs/>
        </w:rPr>
        <w:t>6.</w:t>
      </w:r>
      <w:r>
        <w:t xml:space="preserve"> HKMS § 17 lg 2 sätestab, et riigiasutus on vastustaja ka siis, kui vaidlustatakse tema koosseisu kuuluva ametiisiku tegevust. Seega tuleb käesolevas kohtuasjas vastustajaks tunnistada vaidlustatud haldusaktidele vastavalt Harju Maakohus, Pärnu Maakohus ja Tallinna Halduskohus. </w:t>
      </w:r>
    </w:p>
    <w:p w14:paraId="63ADD779" w14:textId="77777777" w:rsidR="006B754F" w:rsidRDefault="006B754F" w:rsidP="006B754F">
      <w:pPr>
        <w:ind w:right="-567"/>
        <w:jc w:val="both"/>
      </w:pPr>
    </w:p>
    <w:p w14:paraId="1F30312C" w14:textId="78466D1F" w:rsidR="006B754F" w:rsidRDefault="006B754F" w:rsidP="006B754F">
      <w:pPr>
        <w:ind w:right="-567"/>
        <w:jc w:val="both"/>
      </w:pPr>
      <w:r>
        <w:t>Vastustajatel tuleb esitada vastus kaebus</w:t>
      </w:r>
      <w:r w:rsidR="00B445D0">
        <w:t>t</w:t>
      </w:r>
      <w:r>
        <w:t xml:space="preserve">ele vastavalt HKMS § 123 lg 1 nõuetele. </w:t>
      </w:r>
      <w:r w:rsidR="00C7511A">
        <w:t xml:space="preserve">Koos vastusega tuleb esitada haldusmenetluse materjalid (HKMS § 122 lg 2 p 5) osas, milles neid ei ole veel kaebajate poolt kohtule esitatud. </w:t>
      </w:r>
    </w:p>
    <w:p w14:paraId="16DB3443" w14:textId="77777777" w:rsidR="00C7511A" w:rsidRDefault="00C7511A" w:rsidP="006B754F">
      <w:pPr>
        <w:ind w:right="-567"/>
        <w:jc w:val="both"/>
      </w:pPr>
    </w:p>
    <w:p w14:paraId="7270A88E" w14:textId="77777777" w:rsidR="00C7511A" w:rsidRDefault="00C7511A" w:rsidP="006B754F">
      <w:pPr>
        <w:ind w:right="-567"/>
        <w:jc w:val="both"/>
      </w:pPr>
      <w:r>
        <w:t>Kohus selgitab, et HKMS § 32 lg 1 p 6 alusel võib volitatud esindajaks olla vastustaja teise vastustaja volitusel. Ülevaatlikuma menetluse huvides ja vaidlusküsimuste olulise kattuvuse tõttu soovitab kohus vastustajatel kaaluda ühise vastuse esitamist või ühe vastustaja teiste nimel vastamiseks</w:t>
      </w:r>
      <w:r w:rsidRPr="00C7511A">
        <w:t xml:space="preserve"> </w:t>
      </w:r>
      <w:r>
        <w:t xml:space="preserve">volitamist. </w:t>
      </w:r>
    </w:p>
    <w:p w14:paraId="66FF54F5" w14:textId="77777777" w:rsidR="00C7511A" w:rsidRDefault="00C7511A" w:rsidP="006B754F">
      <w:pPr>
        <w:ind w:right="-567"/>
        <w:jc w:val="both"/>
      </w:pPr>
    </w:p>
    <w:p w14:paraId="6C6B2121" w14:textId="77777777" w:rsidR="00C7511A" w:rsidRDefault="00C7511A" w:rsidP="00C7511A">
      <w:pPr>
        <w:ind w:right="-567"/>
        <w:jc w:val="both"/>
      </w:pPr>
      <w:r>
        <w:rPr>
          <w:b/>
          <w:bCs/>
        </w:rPr>
        <w:t>7.</w:t>
      </w:r>
      <w:r>
        <w:t xml:space="preserve"> HKMS § 24 lg 1 p-de 2 ja 4 kohaselt võib halduskohus arvamuse andmiseks kaasata menetlusse haldusorgani, kelle ülesandeid vaidluse ese puudutab ning kelle arvamus või kelle valduses olev teave võib muul põhjusel aidata kaasa asja lahendamisele.</w:t>
      </w:r>
    </w:p>
    <w:p w14:paraId="64E2DEEE" w14:textId="77777777" w:rsidR="00AB7439" w:rsidRDefault="00AB7439" w:rsidP="00C7511A">
      <w:pPr>
        <w:ind w:right="-567"/>
        <w:jc w:val="both"/>
      </w:pPr>
    </w:p>
    <w:p w14:paraId="6E8F38AF" w14:textId="5B0E6E63" w:rsidR="00AB7439" w:rsidRDefault="00AB7439" w:rsidP="00C7511A">
      <w:pPr>
        <w:ind w:right="-567"/>
        <w:jc w:val="both"/>
      </w:pPr>
      <w:r>
        <w:t>Käesolev vaidlus puudutab kohtunike palgakorraldust, mida reguleerib KRAPS, ning ka laiemalt kohtunike staatust, mida reguleerib KS. Vaidlusaluse KRAPSi muudatuse eelnõu on koostanud Rahandusministeerium</w:t>
      </w:r>
      <w:r>
        <w:rPr>
          <w:rStyle w:val="Allmrkuseviide"/>
        </w:rPr>
        <w:footnoteReference w:id="1"/>
      </w:r>
      <w:r>
        <w:t xml:space="preserve">. Samas on kohtuniku staatusega seotud õigusloome Justiitsministeeriumi valitsemisalas (VVS § 59 lg 1). Seega kaebusele sisulise vastuse saamiseks </w:t>
      </w:r>
      <w:r w:rsidR="00CD13FF">
        <w:t xml:space="preserve">peab kohus vajalikuks </w:t>
      </w:r>
      <w:r>
        <w:t xml:space="preserve">kaasata menetlusse HKMS § 24 lg 1 p-de 2 ja 4 alusel Rahandusministeerium ja Justiitsministeerium. </w:t>
      </w:r>
    </w:p>
    <w:p w14:paraId="077E84D1" w14:textId="77777777" w:rsidR="00AB7439" w:rsidRDefault="00AB7439" w:rsidP="00C7511A">
      <w:pPr>
        <w:ind w:right="-567"/>
        <w:jc w:val="both"/>
      </w:pPr>
    </w:p>
    <w:p w14:paraId="1BBA077E" w14:textId="4202F072" w:rsidR="00AB7439" w:rsidRDefault="00AB7439" w:rsidP="00C7511A">
      <w:pPr>
        <w:ind w:right="-567"/>
        <w:jc w:val="both"/>
      </w:pPr>
      <w:r>
        <w:t>Kaasatud haldusorganitel tuleb esitada vastus kaebus</w:t>
      </w:r>
      <w:r w:rsidR="00B445D0">
        <w:t>t</w:t>
      </w:r>
      <w:r>
        <w:t>ele, järgides HKMS § 124 lg 3 nõudeid. Kaasatud haldusorganid võivad esitada ühise vastuse. Samas tuleb kaasatud haldusorganitel omavahelises koostöös tagada, et kaebustes toodu</w:t>
      </w:r>
      <w:r w:rsidR="00B445D0">
        <w:t>d küsimustele</w:t>
      </w:r>
      <w:r>
        <w:t xml:space="preserve"> saaks kaasatud haldusorganite pädevusjaotuse alusel vastatud. Kui kaebus</w:t>
      </w:r>
      <w:r w:rsidR="00B445D0">
        <w:t>tel</w:t>
      </w:r>
      <w:r>
        <w:t xml:space="preserve">e vastamiseks on tarvilik, tuleb kaasatud haldusorganitel koguda vastamiseks vajalikku teavet enda valitsemisalast, näiteks Statistikaametilt. </w:t>
      </w:r>
    </w:p>
    <w:p w14:paraId="4ABE1DC7" w14:textId="77777777" w:rsidR="00AB7439" w:rsidRDefault="00AB7439" w:rsidP="00C7511A">
      <w:pPr>
        <w:ind w:right="-567"/>
        <w:jc w:val="both"/>
      </w:pPr>
    </w:p>
    <w:p w14:paraId="7A892D30" w14:textId="77777777" w:rsidR="00AB7439" w:rsidRDefault="00AB7439" w:rsidP="00C7511A">
      <w:pPr>
        <w:ind w:right="-567"/>
        <w:jc w:val="both"/>
      </w:pPr>
      <w:r>
        <w:rPr>
          <w:b/>
          <w:bCs/>
        </w:rPr>
        <w:t>8.</w:t>
      </w:r>
      <w:r>
        <w:t xml:space="preserve"> Kohus peab vajalikuks määratleda mõned olulisemad vaidluspunktid: </w:t>
      </w:r>
    </w:p>
    <w:p w14:paraId="7B9778BB" w14:textId="77777777" w:rsidR="00AB7439" w:rsidRDefault="00840C74" w:rsidP="00840C74">
      <w:pPr>
        <w:numPr>
          <w:ilvl w:val="0"/>
          <w:numId w:val="19"/>
        </w:numPr>
        <w:ind w:left="284" w:right="-567" w:hanging="284"/>
        <w:jc w:val="both"/>
      </w:pPr>
      <w:r>
        <w:t xml:space="preserve">milliste õigushüvede osas on tegemist kaebajate subjektiivsete õiguste riivetega ning millised õigushüved kaitsevad avalikku huvi; </w:t>
      </w:r>
    </w:p>
    <w:p w14:paraId="7CFF8628" w14:textId="77777777" w:rsidR="00840C74" w:rsidRDefault="00840C74" w:rsidP="00840C74">
      <w:pPr>
        <w:numPr>
          <w:ilvl w:val="0"/>
          <w:numId w:val="19"/>
        </w:numPr>
        <w:ind w:left="284" w:right="-567" w:hanging="284"/>
        <w:jc w:val="both"/>
      </w:pPr>
      <w:r>
        <w:t>kas tegemist on palga vähendamisega;</w:t>
      </w:r>
    </w:p>
    <w:p w14:paraId="71CA9FD8" w14:textId="77777777" w:rsidR="00840C74" w:rsidRDefault="00840C74" w:rsidP="00840C74">
      <w:pPr>
        <w:numPr>
          <w:ilvl w:val="0"/>
          <w:numId w:val="19"/>
        </w:numPr>
        <w:ind w:left="284" w:right="-567" w:hanging="284"/>
        <w:jc w:val="both"/>
      </w:pPr>
      <w:r>
        <w:t>kas kaebajatel on tekkinud õiguspärane ootus palgakorralduse säilimisele ja milliseid lubadusi on selles osas kaebajatele (kohtunik</w:t>
      </w:r>
      <w:r w:rsidR="008C2DED">
        <w:t>konnale</w:t>
      </w:r>
      <w:r>
        <w:t>) antud;</w:t>
      </w:r>
    </w:p>
    <w:p w14:paraId="0563104B" w14:textId="77777777" w:rsidR="00840C74" w:rsidRDefault="00840C74" w:rsidP="00840C74">
      <w:pPr>
        <w:numPr>
          <w:ilvl w:val="0"/>
          <w:numId w:val="19"/>
        </w:numPr>
        <w:ind w:left="284" w:right="-567" w:hanging="284"/>
        <w:jc w:val="both"/>
      </w:pPr>
      <w:r>
        <w:t>kas oli nõutav alternatiivsete meetmete kaalumine (vajalikkuse kriteerium) ning kas ja milliseid alternatiivseid meetmeid kaaluti;</w:t>
      </w:r>
    </w:p>
    <w:p w14:paraId="4474B33C" w14:textId="77777777" w:rsidR="00840C74" w:rsidRDefault="00840C74" w:rsidP="00840C74">
      <w:pPr>
        <w:numPr>
          <w:ilvl w:val="0"/>
          <w:numId w:val="19"/>
        </w:numPr>
        <w:ind w:left="284" w:right="-567" w:hanging="284"/>
        <w:jc w:val="both"/>
      </w:pPr>
      <w:r>
        <w:t>kas ametipalk on piisav, kellel on selles osas tõendamiskoormus ning kas seadusandja viis läbi vastava analüüsi;</w:t>
      </w:r>
    </w:p>
    <w:p w14:paraId="4C0CE228" w14:textId="77777777" w:rsidR="00840C74" w:rsidRDefault="00840C74" w:rsidP="00840C74">
      <w:pPr>
        <w:numPr>
          <w:ilvl w:val="0"/>
          <w:numId w:val="19"/>
        </w:numPr>
        <w:ind w:left="284" w:right="-567" w:hanging="284"/>
        <w:jc w:val="both"/>
      </w:pPr>
      <w:r>
        <w:t>kas kohtunike osas on rikutud õigust võrdsele kohtlemisele, sealjuures, millised on asjakohased võrdlusgrupid;</w:t>
      </w:r>
    </w:p>
    <w:p w14:paraId="254CFECF" w14:textId="77777777" w:rsidR="008C2DED" w:rsidRDefault="008C2DED" w:rsidP="00840C74">
      <w:pPr>
        <w:numPr>
          <w:ilvl w:val="0"/>
          <w:numId w:val="19"/>
        </w:numPr>
        <w:ind w:left="284" w:right="-567" w:hanging="284"/>
        <w:jc w:val="both"/>
      </w:pPr>
      <w:r>
        <w:t>kas põhjused, miks ei kohaldatud KRAPSi muudatust kõigi kõrgemate riigiteenijate osas, on asjakohased ja põhjendatud;</w:t>
      </w:r>
    </w:p>
    <w:p w14:paraId="15D822B8" w14:textId="77777777" w:rsidR="00840C74" w:rsidRDefault="00840C74" w:rsidP="00840C74">
      <w:pPr>
        <w:numPr>
          <w:ilvl w:val="0"/>
          <w:numId w:val="19"/>
        </w:numPr>
        <w:ind w:left="284" w:right="-567" w:hanging="284"/>
        <w:jc w:val="both"/>
      </w:pPr>
      <w:r>
        <w:t xml:space="preserve">kuidas on palgad muutunud teistes võrreldavates ametites. </w:t>
      </w:r>
    </w:p>
    <w:p w14:paraId="1FB8A651" w14:textId="77777777" w:rsidR="00840C74" w:rsidRDefault="00840C74" w:rsidP="00C7511A">
      <w:pPr>
        <w:ind w:right="-567"/>
        <w:jc w:val="both"/>
      </w:pPr>
    </w:p>
    <w:p w14:paraId="09D1311E" w14:textId="0870795B" w:rsidR="00840C74" w:rsidRDefault="00840C74" w:rsidP="00C7511A">
      <w:pPr>
        <w:ind w:right="-567"/>
        <w:jc w:val="both"/>
      </w:pPr>
      <w:r>
        <w:t xml:space="preserve">Kohus ei pea hetkel vajalikuks neis teemades juba ennetavalt täpsemaid küsimusi formuleerida; sh täpsustada võrdlusgruppe, võrreldavaid ajaperioode, alternatiivseid meetmeid vms. Kohus täpsustab asjas olulisi asjaolusid </w:t>
      </w:r>
      <w:r w:rsidR="00F41B85">
        <w:t xml:space="preserve">ning </w:t>
      </w:r>
      <w:r>
        <w:t xml:space="preserve">kogub täiendavaid tõendeid pärast vastustajate ja kaasatud haldusorganite </w:t>
      </w:r>
      <w:r>
        <w:lastRenderedPageBreak/>
        <w:t>poolt seisukohtade saamist. Vastustajatel ja kaasatud haldusorganitel on oma vastustes võimalik välja tuua nende hinnangul asjakohased võrdlusgrupid</w:t>
      </w:r>
      <w:r w:rsidR="008C2DED">
        <w:t>; tõendamiskoormuse jaotus jne.</w:t>
      </w:r>
      <w:r w:rsidR="00F41B85">
        <w:t xml:space="preserve"> </w:t>
      </w:r>
    </w:p>
    <w:p w14:paraId="39560E83" w14:textId="77777777" w:rsidR="00AB7439" w:rsidRDefault="00AB7439" w:rsidP="00C7511A">
      <w:pPr>
        <w:ind w:right="-567"/>
        <w:jc w:val="both"/>
      </w:pPr>
    </w:p>
    <w:p w14:paraId="35777D6D" w14:textId="219A03A3" w:rsidR="006B754F" w:rsidRDefault="008C2DED" w:rsidP="006B754F">
      <w:pPr>
        <w:ind w:right="-567"/>
        <w:jc w:val="both"/>
      </w:pPr>
      <w:r>
        <w:rPr>
          <w:b/>
          <w:bCs/>
        </w:rPr>
        <w:t>9.</w:t>
      </w:r>
      <w:r>
        <w:t xml:space="preserve"> Kohus ei pea vajalikuks kaebajatele eraldi tähtaja määramist, et nad saaksid soovi korral kohtu esialgsel hinnangul olulisimaid vaidluspunkte täpsustada. Kaebajatel on see võimalus edaspidi, pärast teise poole vastuse saabumist. Küll aga kui kaebajad soovivad seisukoha esitada, tuleb see esitada hiljemalt </w:t>
      </w:r>
      <w:r w:rsidR="00F41B85">
        <w:t xml:space="preserve">30 </w:t>
      </w:r>
      <w:r>
        <w:t xml:space="preserve">päeva enne vastustajatele ja kaasatud haldusorganitele </w:t>
      </w:r>
      <w:r w:rsidR="0093565B">
        <w:t xml:space="preserve">määratud </w:t>
      </w:r>
      <w:r>
        <w:t xml:space="preserve">vastamise tähtpäeva saabumist. Kaebajatel on soovitatav kohtuasja ülevaatlikkuse säilitamiseks esitada kas ühine seisukoht või volitada üht või paari enda seast kaebajate nimel seisukohta esitama (HKMS § 32 lg 1 p 6). </w:t>
      </w:r>
    </w:p>
    <w:p w14:paraId="44137D2A" w14:textId="77777777" w:rsidR="00CC3EE1" w:rsidRDefault="00CC3EE1" w:rsidP="006B754F">
      <w:pPr>
        <w:ind w:right="-567"/>
        <w:jc w:val="both"/>
      </w:pPr>
    </w:p>
    <w:p w14:paraId="3AB5816F" w14:textId="77777777" w:rsidR="00CC3EE1" w:rsidRPr="008C2DED" w:rsidRDefault="00CC3EE1" w:rsidP="006B754F">
      <w:pPr>
        <w:ind w:right="-567"/>
        <w:jc w:val="both"/>
      </w:pPr>
      <w:r>
        <w:t>Vastamise tähtaja määramisel arvestab koosseis suvise puhkuseperioodi ning teistes kohtuasjades määratud tähtaegadega.</w:t>
      </w:r>
    </w:p>
    <w:p w14:paraId="60335C9C" w14:textId="77777777" w:rsidR="006B754F" w:rsidRDefault="006B754F" w:rsidP="006B754F">
      <w:pPr>
        <w:ind w:right="-567"/>
        <w:jc w:val="both"/>
      </w:pPr>
    </w:p>
    <w:p w14:paraId="2D74ABFB" w14:textId="77777777" w:rsidR="006B754F" w:rsidRPr="006B754F" w:rsidRDefault="006B754F" w:rsidP="006B754F">
      <w:pPr>
        <w:ind w:right="-567"/>
        <w:jc w:val="both"/>
      </w:pPr>
    </w:p>
    <w:p w14:paraId="6FF697D1" w14:textId="77777777" w:rsidR="00E571B6" w:rsidRDefault="00E571B6" w:rsidP="00BE1A48">
      <w:pPr>
        <w:ind w:right="-567"/>
        <w:jc w:val="both"/>
      </w:pPr>
    </w:p>
    <w:p w14:paraId="622B32BF" w14:textId="77777777" w:rsidR="00E571B6" w:rsidRPr="00F36EF5" w:rsidRDefault="00E571B6" w:rsidP="00BE1A48">
      <w:pPr>
        <w:ind w:right="-567"/>
        <w:jc w:val="both"/>
      </w:pPr>
    </w:p>
    <w:p w14:paraId="2E46B31D" w14:textId="77777777" w:rsidR="00C92F7E" w:rsidRDefault="00EF3A42" w:rsidP="00BE1A48">
      <w:pPr>
        <w:ind w:right="-567"/>
        <w:jc w:val="both"/>
      </w:pPr>
      <w:r>
        <w:t>(</w:t>
      </w:r>
      <w:r w:rsidR="00CE4B3A">
        <w:t>allkirjastatud digitaalselt</w:t>
      </w:r>
      <w:r>
        <w:t>)</w:t>
      </w:r>
    </w:p>
    <w:sectPr w:rsidR="00C92F7E" w:rsidSect="00644C9C">
      <w:headerReference w:type="default" r:id="rId9"/>
      <w:footerReference w:type="even" r:id="rId10"/>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39A9" w14:textId="77777777" w:rsidR="00A6329D" w:rsidRDefault="00A6329D">
      <w:r>
        <w:separator/>
      </w:r>
    </w:p>
  </w:endnote>
  <w:endnote w:type="continuationSeparator" w:id="0">
    <w:p w14:paraId="1448A90B" w14:textId="77777777" w:rsidR="00A6329D" w:rsidRDefault="00A6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Segoe UI">
    <w:altName w:val="Athelas Bold Italic"/>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4F21" w14:textId="77777777" w:rsidR="00B42E93" w:rsidRDefault="00B42E93" w:rsidP="006C21D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8905C36" w14:textId="77777777" w:rsidR="00B42E93" w:rsidRDefault="00B42E93" w:rsidP="00B42E93">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BD8" w14:textId="77777777" w:rsidR="00B42E93" w:rsidRDefault="00B42E93" w:rsidP="00B42E93">
    <w:pPr>
      <w:pStyle w:val="Jalus"/>
      <w:ind w:right="360"/>
      <w:jc w:val="right"/>
    </w:pPr>
    <w:r>
      <w:rPr>
        <w:rStyle w:val="Lehekljenumber"/>
      </w:rPr>
      <w:fldChar w:fldCharType="begin"/>
    </w:r>
    <w:r>
      <w:rPr>
        <w:rStyle w:val="Lehekljenumber"/>
      </w:rPr>
      <w:instrText xml:space="preserve"> PAGE </w:instrText>
    </w:r>
    <w:r>
      <w:rPr>
        <w:rStyle w:val="Lehekljenumber"/>
      </w:rPr>
      <w:fldChar w:fldCharType="separate"/>
    </w:r>
    <w:r w:rsidR="00192503">
      <w:rPr>
        <w:rStyle w:val="Lehekljenumber"/>
        <w:noProof/>
      </w:rPr>
      <w:t>1</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sidR="00192503">
      <w:rPr>
        <w:rStyle w:val="Lehekljenumber"/>
        <w:noProof/>
      </w:rPr>
      <w:t>1</w:t>
    </w:r>
    <w:r>
      <w:rPr>
        <w:rStyle w:val="Lehekljenumber"/>
      </w:rPr>
      <w:fldChar w:fldCharType="end"/>
    </w:r>
    <w:r>
      <w:rPr>
        <w:rStyle w:val="Leheklj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383D" w14:textId="77777777" w:rsidR="00A6329D" w:rsidRDefault="00A6329D">
      <w:r>
        <w:separator/>
      </w:r>
    </w:p>
  </w:footnote>
  <w:footnote w:type="continuationSeparator" w:id="0">
    <w:p w14:paraId="451E4147" w14:textId="77777777" w:rsidR="00A6329D" w:rsidRDefault="00A6329D">
      <w:r>
        <w:continuationSeparator/>
      </w:r>
    </w:p>
  </w:footnote>
  <w:footnote w:id="1">
    <w:p w14:paraId="67D0507E" w14:textId="77777777" w:rsidR="0093565B" w:rsidRDefault="00AB7439">
      <w:pPr>
        <w:pStyle w:val="Allmrkusetekst"/>
      </w:pPr>
      <w:r>
        <w:rPr>
          <w:rStyle w:val="Allmrkuseviide"/>
        </w:rPr>
        <w:footnoteRef/>
      </w:r>
      <w:r>
        <w:t xml:space="preserve"> </w:t>
      </w:r>
      <w:hyperlink r:id="rId1" w:history="1">
        <w:r w:rsidRPr="00CB01B6">
          <w:rPr>
            <w:rStyle w:val="Hperlink"/>
          </w:rPr>
          <w:t>https://www.riigikogu.ee/tegevus/eelnoud/eelnou/15ac4fd9-61f2-446d-b9f4-80e003028c36/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17EE" w14:textId="77777777" w:rsidR="00B42E93" w:rsidRPr="00B42E93" w:rsidRDefault="00B42E93" w:rsidP="00B42E93">
    <w:pPr>
      <w:pStyle w:val="Pi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5B"/>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0E79EE"/>
    <w:multiLevelType w:val="hybridMultilevel"/>
    <w:tmpl w:val="FFFFFFFF"/>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4257C7"/>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F603D5"/>
    <w:multiLevelType w:val="hybridMultilevel"/>
    <w:tmpl w:val="FFFFFFFF"/>
    <w:lvl w:ilvl="0" w:tplc="F814E266">
      <w:start w:val="1"/>
      <w:numFmt w:val="decimal"/>
      <w:lvlText w:val="%1."/>
      <w:lvlJc w:val="left"/>
      <w:pPr>
        <w:tabs>
          <w:tab w:val="num" w:pos="360"/>
        </w:tabs>
        <w:ind w:left="360" w:hanging="360"/>
      </w:pPr>
      <w:rPr>
        <w:rFonts w:cs="Times New Roman" w:hint="default"/>
        <w:b/>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F4C4B9C"/>
    <w:multiLevelType w:val="hybridMultilevel"/>
    <w:tmpl w:val="FFFFFFFF"/>
    <w:lvl w:ilvl="0" w:tplc="28580B2E">
      <w:start w:val="1"/>
      <w:numFmt w:val="decimal"/>
      <w:lvlText w:val="%1."/>
      <w:lvlJc w:val="left"/>
      <w:pPr>
        <w:tabs>
          <w:tab w:val="num" w:pos="360"/>
        </w:tabs>
        <w:ind w:left="360" w:hanging="360"/>
      </w:pPr>
      <w:rPr>
        <w:rFonts w:cs="Times New Roman" w:hint="default"/>
        <w:b/>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5CA7493"/>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816D39"/>
    <w:multiLevelType w:val="hybridMultilevel"/>
    <w:tmpl w:val="FFFFFFFF"/>
    <w:lvl w:ilvl="0" w:tplc="92EE24D0">
      <w:numFmt w:val="bullet"/>
      <w:lvlText w:val="-"/>
      <w:lvlJc w:val="left"/>
      <w:pPr>
        <w:tabs>
          <w:tab w:val="num" w:pos="720"/>
        </w:tabs>
        <w:ind w:left="720" w:hanging="360"/>
      </w:pPr>
      <w:rPr>
        <w:rFonts w:ascii="Times New Roman" w:eastAsia="Times New Roman" w:hAnsi="Times New Roman"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F0180"/>
    <w:multiLevelType w:val="hybridMultilevel"/>
    <w:tmpl w:val="FFFFFFFF"/>
    <w:lvl w:ilvl="0" w:tplc="DAE643E6">
      <w:start w:val="1"/>
      <w:numFmt w:val="decimal"/>
      <w:lvlText w:val="%1."/>
      <w:lvlJc w:val="left"/>
      <w:pPr>
        <w:tabs>
          <w:tab w:val="num" w:pos="720"/>
        </w:tabs>
        <w:ind w:left="720" w:hanging="360"/>
      </w:pPr>
      <w:rPr>
        <w:rFonts w:cs="Times New Roman" w:hint="default"/>
        <w:b/>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4175EF"/>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EE934B2"/>
    <w:multiLevelType w:val="hybridMultilevel"/>
    <w:tmpl w:val="FFFFFFFF"/>
    <w:lvl w:ilvl="0" w:tplc="603429F4">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E1E2D12"/>
    <w:multiLevelType w:val="hybridMultilevel"/>
    <w:tmpl w:val="FFFFFFFF"/>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0F05216"/>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7C23B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32F00D1"/>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F2784C"/>
    <w:multiLevelType w:val="hybridMultilevel"/>
    <w:tmpl w:val="FFFFFFFF"/>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67450D"/>
    <w:multiLevelType w:val="hybridMultilevel"/>
    <w:tmpl w:val="FFFFFFFF"/>
    <w:lvl w:ilvl="0" w:tplc="CBA4CF5E">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FD65C9F"/>
    <w:multiLevelType w:val="hybridMultilevel"/>
    <w:tmpl w:val="FFFFFFFF"/>
    <w:lvl w:ilvl="0" w:tplc="298654BC">
      <w:numFmt w:val="bullet"/>
      <w:lvlText w:val="-"/>
      <w:lvlJc w:val="left"/>
      <w:pPr>
        <w:tabs>
          <w:tab w:val="num" w:pos="1065"/>
        </w:tabs>
        <w:ind w:left="1065" w:hanging="360"/>
      </w:pPr>
      <w:rPr>
        <w:rFonts w:ascii="Times New Roman" w:eastAsia="Times New Roman" w:hAnsi="Times New Roman"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2461E"/>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925A21"/>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7B5B1CB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483157897">
    <w:abstractNumId w:val="14"/>
  </w:num>
  <w:num w:numId="2" w16cid:durableId="353579882">
    <w:abstractNumId w:val="1"/>
  </w:num>
  <w:num w:numId="3" w16cid:durableId="671761029">
    <w:abstractNumId w:val="16"/>
  </w:num>
  <w:num w:numId="4" w16cid:durableId="838421710">
    <w:abstractNumId w:val="6"/>
  </w:num>
  <w:num w:numId="5" w16cid:durableId="913927728">
    <w:abstractNumId w:val="7"/>
  </w:num>
  <w:num w:numId="6" w16cid:durableId="1917933175">
    <w:abstractNumId w:val="2"/>
  </w:num>
  <w:num w:numId="7" w16cid:durableId="1392576459">
    <w:abstractNumId w:val="17"/>
  </w:num>
  <w:num w:numId="8" w16cid:durableId="697004359">
    <w:abstractNumId w:val="19"/>
  </w:num>
  <w:num w:numId="9" w16cid:durableId="2073386305">
    <w:abstractNumId w:val="11"/>
  </w:num>
  <w:num w:numId="10" w16cid:durableId="1457063700">
    <w:abstractNumId w:val="5"/>
  </w:num>
  <w:num w:numId="11" w16cid:durableId="840437827">
    <w:abstractNumId w:val="13"/>
  </w:num>
  <w:num w:numId="12" w16cid:durableId="54008872">
    <w:abstractNumId w:val="3"/>
  </w:num>
  <w:num w:numId="13" w16cid:durableId="1701589855">
    <w:abstractNumId w:val="4"/>
  </w:num>
  <w:num w:numId="14" w16cid:durableId="2127968410">
    <w:abstractNumId w:val="10"/>
  </w:num>
  <w:num w:numId="15" w16cid:durableId="1033579068">
    <w:abstractNumId w:val="9"/>
  </w:num>
  <w:num w:numId="16" w16cid:durableId="3678964">
    <w:abstractNumId w:val="18"/>
  </w:num>
  <w:num w:numId="17" w16cid:durableId="684862342">
    <w:abstractNumId w:val="12"/>
  </w:num>
  <w:num w:numId="18" w16cid:durableId="19669027">
    <w:abstractNumId w:val="8"/>
  </w:num>
  <w:num w:numId="19" w16cid:durableId="610283363">
    <w:abstractNumId w:val="15"/>
  </w:num>
  <w:num w:numId="20" w16cid:durableId="66286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15"/>
    <w:rsid w:val="00004A01"/>
    <w:rsid w:val="00005C10"/>
    <w:rsid w:val="00006CB6"/>
    <w:rsid w:val="00011F78"/>
    <w:rsid w:val="00013A0A"/>
    <w:rsid w:val="0001569A"/>
    <w:rsid w:val="0002200D"/>
    <w:rsid w:val="00026742"/>
    <w:rsid w:val="00026844"/>
    <w:rsid w:val="00031B89"/>
    <w:rsid w:val="00033BDC"/>
    <w:rsid w:val="0003593D"/>
    <w:rsid w:val="0003615C"/>
    <w:rsid w:val="00041B32"/>
    <w:rsid w:val="00042C68"/>
    <w:rsid w:val="00046D17"/>
    <w:rsid w:val="00047311"/>
    <w:rsid w:val="00047699"/>
    <w:rsid w:val="0005515B"/>
    <w:rsid w:val="00057E94"/>
    <w:rsid w:val="000608CA"/>
    <w:rsid w:val="000609F3"/>
    <w:rsid w:val="00064723"/>
    <w:rsid w:val="000659D9"/>
    <w:rsid w:val="00066F6E"/>
    <w:rsid w:val="0007139C"/>
    <w:rsid w:val="00071A8E"/>
    <w:rsid w:val="00072497"/>
    <w:rsid w:val="00074D8B"/>
    <w:rsid w:val="00075BA0"/>
    <w:rsid w:val="00081505"/>
    <w:rsid w:val="0008365F"/>
    <w:rsid w:val="000838F6"/>
    <w:rsid w:val="000839AB"/>
    <w:rsid w:val="00090B7C"/>
    <w:rsid w:val="0009377A"/>
    <w:rsid w:val="000973B0"/>
    <w:rsid w:val="000A21D5"/>
    <w:rsid w:val="000A2FC5"/>
    <w:rsid w:val="000A46FA"/>
    <w:rsid w:val="000B4EF4"/>
    <w:rsid w:val="000C1968"/>
    <w:rsid w:val="000C1EB4"/>
    <w:rsid w:val="000C206D"/>
    <w:rsid w:val="000C5D55"/>
    <w:rsid w:val="000C5DED"/>
    <w:rsid w:val="000C7014"/>
    <w:rsid w:val="000D02E1"/>
    <w:rsid w:val="000D102A"/>
    <w:rsid w:val="000D4F2E"/>
    <w:rsid w:val="000E2781"/>
    <w:rsid w:val="000F1012"/>
    <w:rsid w:val="000F498D"/>
    <w:rsid w:val="000F656B"/>
    <w:rsid w:val="000F6605"/>
    <w:rsid w:val="000F69BD"/>
    <w:rsid w:val="000F7185"/>
    <w:rsid w:val="0010504F"/>
    <w:rsid w:val="00105EAB"/>
    <w:rsid w:val="00107EF4"/>
    <w:rsid w:val="00120E94"/>
    <w:rsid w:val="00123B7B"/>
    <w:rsid w:val="001277B9"/>
    <w:rsid w:val="00130647"/>
    <w:rsid w:val="001406B6"/>
    <w:rsid w:val="001439AB"/>
    <w:rsid w:val="00145A09"/>
    <w:rsid w:val="00146AF6"/>
    <w:rsid w:val="00163135"/>
    <w:rsid w:val="001715BA"/>
    <w:rsid w:val="00171F7A"/>
    <w:rsid w:val="00175880"/>
    <w:rsid w:val="00176DB9"/>
    <w:rsid w:val="00182AD0"/>
    <w:rsid w:val="00182D2D"/>
    <w:rsid w:val="0018475C"/>
    <w:rsid w:val="00186AB8"/>
    <w:rsid w:val="001913B2"/>
    <w:rsid w:val="00191AB8"/>
    <w:rsid w:val="00192503"/>
    <w:rsid w:val="00192620"/>
    <w:rsid w:val="0019284F"/>
    <w:rsid w:val="001967D1"/>
    <w:rsid w:val="001A1CAB"/>
    <w:rsid w:val="001A492B"/>
    <w:rsid w:val="001A4C66"/>
    <w:rsid w:val="001B0095"/>
    <w:rsid w:val="001C16B4"/>
    <w:rsid w:val="001C2475"/>
    <w:rsid w:val="001C4DB9"/>
    <w:rsid w:val="001D38A8"/>
    <w:rsid w:val="001D42D7"/>
    <w:rsid w:val="001D4C37"/>
    <w:rsid w:val="001D7B84"/>
    <w:rsid w:val="001E2A56"/>
    <w:rsid w:val="001E2F67"/>
    <w:rsid w:val="001E7F77"/>
    <w:rsid w:val="001F0478"/>
    <w:rsid w:val="001F0FF0"/>
    <w:rsid w:val="001F134F"/>
    <w:rsid w:val="00201FE0"/>
    <w:rsid w:val="002054A9"/>
    <w:rsid w:val="00210239"/>
    <w:rsid w:val="00211238"/>
    <w:rsid w:val="00211C2F"/>
    <w:rsid w:val="002131DE"/>
    <w:rsid w:val="002148B7"/>
    <w:rsid w:val="00224415"/>
    <w:rsid w:val="002272E4"/>
    <w:rsid w:val="00231E0A"/>
    <w:rsid w:val="00234053"/>
    <w:rsid w:val="00236480"/>
    <w:rsid w:val="00236971"/>
    <w:rsid w:val="00236A84"/>
    <w:rsid w:val="00237717"/>
    <w:rsid w:val="002401E4"/>
    <w:rsid w:val="00242A61"/>
    <w:rsid w:val="0024619F"/>
    <w:rsid w:val="002461B3"/>
    <w:rsid w:val="00250561"/>
    <w:rsid w:val="00251AA4"/>
    <w:rsid w:val="00260851"/>
    <w:rsid w:val="00262F38"/>
    <w:rsid w:val="00266C1C"/>
    <w:rsid w:val="00272032"/>
    <w:rsid w:val="002726AC"/>
    <w:rsid w:val="002735C3"/>
    <w:rsid w:val="002739B5"/>
    <w:rsid w:val="0027482B"/>
    <w:rsid w:val="00275652"/>
    <w:rsid w:val="00277949"/>
    <w:rsid w:val="00280A88"/>
    <w:rsid w:val="00281EAB"/>
    <w:rsid w:val="00284932"/>
    <w:rsid w:val="002926D8"/>
    <w:rsid w:val="00292DD0"/>
    <w:rsid w:val="00294A56"/>
    <w:rsid w:val="0029582A"/>
    <w:rsid w:val="00297EC0"/>
    <w:rsid w:val="002A022B"/>
    <w:rsid w:val="002A10E8"/>
    <w:rsid w:val="002A21CA"/>
    <w:rsid w:val="002A455E"/>
    <w:rsid w:val="002A4692"/>
    <w:rsid w:val="002A7435"/>
    <w:rsid w:val="002B0135"/>
    <w:rsid w:val="002B6655"/>
    <w:rsid w:val="002B6B25"/>
    <w:rsid w:val="002C2CF8"/>
    <w:rsid w:val="002C3411"/>
    <w:rsid w:val="002C4B66"/>
    <w:rsid w:val="002C68B2"/>
    <w:rsid w:val="002D1291"/>
    <w:rsid w:val="002D6D20"/>
    <w:rsid w:val="002E041F"/>
    <w:rsid w:val="002E13E9"/>
    <w:rsid w:val="002E17E3"/>
    <w:rsid w:val="002E1E4A"/>
    <w:rsid w:val="002E6A7D"/>
    <w:rsid w:val="002F3474"/>
    <w:rsid w:val="002F67C2"/>
    <w:rsid w:val="003002BC"/>
    <w:rsid w:val="003015C7"/>
    <w:rsid w:val="003047D2"/>
    <w:rsid w:val="003053E1"/>
    <w:rsid w:val="00315672"/>
    <w:rsid w:val="00315ABD"/>
    <w:rsid w:val="003175A2"/>
    <w:rsid w:val="00323CCE"/>
    <w:rsid w:val="00326A18"/>
    <w:rsid w:val="00330B48"/>
    <w:rsid w:val="00331195"/>
    <w:rsid w:val="00334DD7"/>
    <w:rsid w:val="00341890"/>
    <w:rsid w:val="0034239C"/>
    <w:rsid w:val="00343D12"/>
    <w:rsid w:val="00347EB9"/>
    <w:rsid w:val="00362A6C"/>
    <w:rsid w:val="00367864"/>
    <w:rsid w:val="00370974"/>
    <w:rsid w:val="00370F4F"/>
    <w:rsid w:val="00371EFA"/>
    <w:rsid w:val="003736B8"/>
    <w:rsid w:val="00377E6F"/>
    <w:rsid w:val="00382D80"/>
    <w:rsid w:val="0038551C"/>
    <w:rsid w:val="003857B8"/>
    <w:rsid w:val="00397C56"/>
    <w:rsid w:val="003A58DD"/>
    <w:rsid w:val="003B1666"/>
    <w:rsid w:val="003B1B87"/>
    <w:rsid w:val="003C37B8"/>
    <w:rsid w:val="003C605A"/>
    <w:rsid w:val="003C7927"/>
    <w:rsid w:val="003D49A6"/>
    <w:rsid w:val="003E73BE"/>
    <w:rsid w:val="003F302E"/>
    <w:rsid w:val="003F30BA"/>
    <w:rsid w:val="003F5C46"/>
    <w:rsid w:val="003F6A04"/>
    <w:rsid w:val="00403D29"/>
    <w:rsid w:val="00411A72"/>
    <w:rsid w:val="00414066"/>
    <w:rsid w:val="0041570A"/>
    <w:rsid w:val="00422F24"/>
    <w:rsid w:val="004316BE"/>
    <w:rsid w:val="004357F5"/>
    <w:rsid w:val="004371C3"/>
    <w:rsid w:val="004406BE"/>
    <w:rsid w:val="00442F6F"/>
    <w:rsid w:val="0044320C"/>
    <w:rsid w:val="00444187"/>
    <w:rsid w:val="004513E5"/>
    <w:rsid w:val="0045151C"/>
    <w:rsid w:val="004527E9"/>
    <w:rsid w:val="004533F4"/>
    <w:rsid w:val="00455002"/>
    <w:rsid w:val="0045697E"/>
    <w:rsid w:val="004605FA"/>
    <w:rsid w:val="004606C8"/>
    <w:rsid w:val="0046790D"/>
    <w:rsid w:val="00475AD1"/>
    <w:rsid w:val="004773C2"/>
    <w:rsid w:val="00477CB8"/>
    <w:rsid w:val="00477DCA"/>
    <w:rsid w:val="00481CA4"/>
    <w:rsid w:val="00484F4D"/>
    <w:rsid w:val="004866F1"/>
    <w:rsid w:val="0049426C"/>
    <w:rsid w:val="00497184"/>
    <w:rsid w:val="004A0A10"/>
    <w:rsid w:val="004A3566"/>
    <w:rsid w:val="004B2202"/>
    <w:rsid w:val="004B3DDD"/>
    <w:rsid w:val="004C5087"/>
    <w:rsid w:val="004C7544"/>
    <w:rsid w:val="004D1960"/>
    <w:rsid w:val="004E0911"/>
    <w:rsid w:val="004E0BDD"/>
    <w:rsid w:val="004E0F95"/>
    <w:rsid w:val="004F1FD7"/>
    <w:rsid w:val="004F2842"/>
    <w:rsid w:val="004F3BEE"/>
    <w:rsid w:val="00502F9B"/>
    <w:rsid w:val="005041B0"/>
    <w:rsid w:val="00507149"/>
    <w:rsid w:val="005078C0"/>
    <w:rsid w:val="0051151E"/>
    <w:rsid w:val="00515065"/>
    <w:rsid w:val="005170F0"/>
    <w:rsid w:val="0052742C"/>
    <w:rsid w:val="00534BEA"/>
    <w:rsid w:val="00535438"/>
    <w:rsid w:val="005407A0"/>
    <w:rsid w:val="00545347"/>
    <w:rsid w:val="005476F0"/>
    <w:rsid w:val="00550C35"/>
    <w:rsid w:val="00551F60"/>
    <w:rsid w:val="0055216C"/>
    <w:rsid w:val="005522EC"/>
    <w:rsid w:val="00552DB1"/>
    <w:rsid w:val="005617A4"/>
    <w:rsid w:val="00565665"/>
    <w:rsid w:val="005669C6"/>
    <w:rsid w:val="0057318E"/>
    <w:rsid w:val="0057368E"/>
    <w:rsid w:val="00574502"/>
    <w:rsid w:val="0057465C"/>
    <w:rsid w:val="005778F4"/>
    <w:rsid w:val="00582022"/>
    <w:rsid w:val="00594FBB"/>
    <w:rsid w:val="005A0DE7"/>
    <w:rsid w:val="005A30E8"/>
    <w:rsid w:val="005A513A"/>
    <w:rsid w:val="005A625B"/>
    <w:rsid w:val="005B0300"/>
    <w:rsid w:val="005B521C"/>
    <w:rsid w:val="005C1302"/>
    <w:rsid w:val="005C4A6C"/>
    <w:rsid w:val="005C5FC8"/>
    <w:rsid w:val="005C6E79"/>
    <w:rsid w:val="005D00B2"/>
    <w:rsid w:val="005D29F7"/>
    <w:rsid w:val="005D2B0D"/>
    <w:rsid w:val="005D427F"/>
    <w:rsid w:val="005D5A02"/>
    <w:rsid w:val="005D683D"/>
    <w:rsid w:val="005D709C"/>
    <w:rsid w:val="005E390F"/>
    <w:rsid w:val="005E442C"/>
    <w:rsid w:val="005E4A57"/>
    <w:rsid w:val="005E5D93"/>
    <w:rsid w:val="005E6084"/>
    <w:rsid w:val="005F384F"/>
    <w:rsid w:val="005F521A"/>
    <w:rsid w:val="00601215"/>
    <w:rsid w:val="00603E2E"/>
    <w:rsid w:val="00606F21"/>
    <w:rsid w:val="00610104"/>
    <w:rsid w:val="006133FE"/>
    <w:rsid w:val="00617B33"/>
    <w:rsid w:val="006204D4"/>
    <w:rsid w:val="00620D0D"/>
    <w:rsid w:val="00622835"/>
    <w:rsid w:val="00624316"/>
    <w:rsid w:val="00627E1E"/>
    <w:rsid w:val="00631434"/>
    <w:rsid w:val="0063273D"/>
    <w:rsid w:val="006334F1"/>
    <w:rsid w:val="00636081"/>
    <w:rsid w:val="00637DD7"/>
    <w:rsid w:val="00640A5E"/>
    <w:rsid w:val="0064221C"/>
    <w:rsid w:val="006425E1"/>
    <w:rsid w:val="00642C66"/>
    <w:rsid w:val="00642E5C"/>
    <w:rsid w:val="00644C9C"/>
    <w:rsid w:val="00645A19"/>
    <w:rsid w:val="00646ABD"/>
    <w:rsid w:val="00646CC1"/>
    <w:rsid w:val="00653E3D"/>
    <w:rsid w:val="006549D9"/>
    <w:rsid w:val="00657371"/>
    <w:rsid w:val="00665264"/>
    <w:rsid w:val="00666231"/>
    <w:rsid w:val="00671171"/>
    <w:rsid w:val="006721A6"/>
    <w:rsid w:val="0067226D"/>
    <w:rsid w:val="00684723"/>
    <w:rsid w:val="00690C7D"/>
    <w:rsid w:val="006929FE"/>
    <w:rsid w:val="00692C92"/>
    <w:rsid w:val="006941BC"/>
    <w:rsid w:val="006A02BA"/>
    <w:rsid w:val="006A1014"/>
    <w:rsid w:val="006A2C56"/>
    <w:rsid w:val="006A3500"/>
    <w:rsid w:val="006B754F"/>
    <w:rsid w:val="006C1950"/>
    <w:rsid w:val="006C21D3"/>
    <w:rsid w:val="006C4BFF"/>
    <w:rsid w:val="006D2DDA"/>
    <w:rsid w:val="006D31C3"/>
    <w:rsid w:val="006D64B3"/>
    <w:rsid w:val="006D6726"/>
    <w:rsid w:val="006E5716"/>
    <w:rsid w:val="006E6268"/>
    <w:rsid w:val="006F34E4"/>
    <w:rsid w:val="006F6789"/>
    <w:rsid w:val="00700F56"/>
    <w:rsid w:val="00703DFA"/>
    <w:rsid w:val="0070529E"/>
    <w:rsid w:val="00705716"/>
    <w:rsid w:val="00707AD5"/>
    <w:rsid w:val="007125FC"/>
    <w:rsid w:val="00715BFA"/>
    <w:rsid w:val="007200E0"/>
    <w:rsid w:val="0072234D"/>
    <w:rsid w:val="00722CD1"/>
    <w:rsid w:val="00723D6C"/>
    <w:rsid w:val="00725797"/>
    <w:rsid w:val="00730467"/>
    <w:rsid w:val="00734B43"/>
    <w:rsid w:val="00743094"/>
    <w:rsid w:val="00743DA2"/>
    <w:rsid w:val="00747C20"/>
    <w:rsid w:val="007540C9"/>
    <w:rsid w:val="00754944"/>
    <w:rsid w:val="0075606C"/>
    <w:rsid w:val="00756200"/>
    <w:rsid w:val="007574DE"/>
    <w:rsid w:val="007657E2"/>
    <w:rsid w:val="00770341"/>
    <w:rsid w:val="0077191D"/>
    <w:rsid w:val="00771F84"/>
    <w:rsid w:val="00773432"/>
    <w:rsid w:val="00774FE2"/>
    <w:rsid w:val="00775008"/>
    <w:rsid w:val="00780F4E"/>
    <w:rsid w:val="00783275"/>
    <w:rsid w:val="00787CC9"/>
    <w:rsid w:val="00790E2D"/>
    <w:rsid w:val="007920EA"/>
    <w:rsid w:val="007944DA"/>
    <w:rsid w:val="00794690"/>
    <w:rsid w:val="007A1C70"/>
    <w:rsid w:val="007B1FC6"/>
    <w:rsid w:val="007B3146"/>
    <w:rsid w:val="007B3C31"/>
    <w:rsid w:val="007C0841"/>
    <w:rsid w:val="007C0DB1"/>
    <w:rsid w:val="007C6C3B"/>
    <w:rsid w:val="007D49DA"/>
    <w:rsid w:val="007D4DBB"/>
    <w:rsid w:val="007D695D"/>
    <w:rsid w:val="007E1852"/>
    <w:rsid w:val="007E39D3"/>
    <w:rsid w:val="007E46F2"/>
    <w:rsid w:val="007E486C"/>
    <w:rsid w:val="007E5C26"/>
    <w:rsid w:val="007F4C75"/>
    <w:rsid w:val="008036BE"/>
    <w:rsid w:val="00820390"/>
    <w:rsid w:val="00821CC6"/>
    <w:rsid w:val="00827CF4"/>
    <w:rsid w:val="00834048"/>
    <w:rsid w:val="00836961"/>
    <w:rsid w:val="0083729E"/>
    <w:rsid w:val="00840C74"/>
    <w:rsid w:val="00842142"/>
    <w:rsid w:val="00850446"/>
    <w:rsid w:val="0085418F"/>
    <w:rsid w:val="0085578A"/>
    <w:rsid w:val="00862497"/>
    <w:rsid w:val="00871A94"/>
    <w:rsid w:val="00872F22"/>
    <w:rsid w:val="00875CD9"/>
    <w:rsid w:val="00876697"/>
    <w:rsid w:val="008773DB"/>
    <w:rsid w:val="0087747D"/>
    <w:rsid w:val="00881078"/>
    <w:rsid w:val="00881248"/>
    <w:rsid w:val="00883A36"/>
    <w:rsid w:val="00883B10"/>
    <w:rsid w:val="00883DA2"/>
    <w:rsid w:val="00885219"/>
    <w:rsid w:val="008873C7"/>
    <w:rsid w:val="00890327"/>
    <w:rsid w:val="0089664F"/>
    <w:rsid w:val="008A47B9"/>
    <w:rsid w:val="008A4813"/>
    <w:rsid w:val="008B328D"/>
    <w:rsid w:val="008B4312"/>
    <w:rsid w:val="008B51C7"/>
    <w:rsid w:val="008B647E"/>
    <w:rsid w:val="008C0B22"/>
    <w:rsid w:val="008C1EDF"/>
    <w:rsid w:val="008C2DED"/>
    <w:rsid w:val="008C44F5"/>
    <w:rsid w:val="008D021D"/>
    <w:rsid w:val="008D06F2"/>
    <w:rsid w:val="008D440E"/>
    <w:rsid w:val="008E0D94"/>
    <w:rsid w:val="008E2E63"/>
    <w:rsid w:val="008E42D7"/>
    <w:rsid w:val="008E521F"/>
    <w:rsid w:val="008E58B8"/>
    <w:rsid w:val="008E646B"/>
    <w:rsid w:val="008F1624"/>
    <w:rsid w:val="008F5EAC"/>
    <w:rsid w:val="00901299"/>
    <w:rsid w:val="009012AD"/>
    <w:rsid w:val="009029F4"/>
    <w:rsid w:val="00902FAD"/>
    <w:rsid w:val="009048C3"/>
    <w:rsid w:val="0091087B"/>
    <w:rsid w:val="009113E7"/>
    <w:rsid w:val="00912815"/>
    <w:rsid w:val="00913C85"/>
    <w:rsid w:val="00914EBA"/>
    <w:rsid w:val="00916D8C"/>
    <w:rsid w:val="00916FDA"/>
    <w:rsid w:val="009222ED"/>
    <w:rsid w:val="009248A9"/>
    <w:rsid w:val="00924E41"/>
    <w:rsid w:val="0092641B"/>
    <w:rsid w:val="0093565B"/>
    <w:rsid w:val="00940756"/>
    <w:rsid w:val="0094529A"/>
    <w:rsid w:val="00951449"/>
    <w:rsid w:val="00951892"/>
    <w:rsid w:val="009519B1"/>
    <w:rsid w:val="0095260B"/>
    <w:rsid w:val="00952B84"/>
    <w:rsid w:val="00957492"/>
    <w:rsid w:val="009606C1"/>
    <w:rsid w:val="00962071"/>
    <w:rsid w:val="00962D73"/>
    <w:rsid w:val="00965FC2"/>
    <w:rsid w:val="009706A3"/>
    <w:rsid w:val="00971B87"/>
    <w:rsid w:val="00972F86"/>
    <w:rsid w:val="00973C42"/>
    <w:rsid w:val="00974037"/>
    <w:rsid w:val="00982169"/>
    <w:rsid w:val="00983769"/>
    <w:rsid w:val="009866E8"/>
    <w:rsid w:val="009875DE"/>
    <w:rsid w:val="0099003D"/>
    <w:rsid w:val="00990EDE"/>
    <w:rsid w:val="00994F6A"/>
    <w:rsid w:val="0099676E"/>
    <w:rsid w:val="009967A4"/>
    <w:rsid w:val="009A3A36"/>
    <w:rsid w:val="009A5B7B"/>
    <w:rsid w:val="009A6290"/>
    <w:rsid w:val="009B262E"/>
    <w:rsid w:val="009B330A"/>
    <w:rsid w:val="009C0965"/>
    <w:rsid w:val="009C2979"/>
    <w:rsid w:val="009C2E7C"/>
    <w:rsid w:val="009C5206"/>
    <w:rsid w:val="009D1812"/>
    <w:rsid w:val="009D3FF9"/>
    <w:rsid w:val="009D4259"/>
    <w:rsid w:val="009D5347"/>
    <w:rsid w:val="009D7985"/>
    <w:rsid w:val="009E14D0"/>
    <w:rsid w:val="009F2C78"/>
    <w:rsid w:val="009F50E6"/>
    <w:rsid w:val="009F51F5"/>
    <w:rsid w:val="009F63C5"/>
    <w:rsid w:val="00A01C13"/>
    <w:rsid w:val="00A14292"/>
    <w:rsid w:val="00A20A21"/>
    <w:rsid w:val="00A24DA4"/>
    <w:rsid w:val="00A24DFF"/>
    <w:rsid w:val="00A25C79"/>
    <w:rsid w:val="00A26C3D"/>
    <w:rsid w:val="00A37B94"/>
    <w:rsid w:val="00A44E2B"/>
    <w:rsid w:val="00A47C4D"/>
    <w:rsid w:val="00A47C70"/>
    <w:rsid w:val="00A51519"/>
    <w:rsid w:val="00A535C4"/>
    <w:rsid w:val="00A5381C"/>
    <w:rsid w:val="00A6329D"/>
    <w:rsid w:val="00A64F0F"/>
    <w:rsid w:val="00A65E96"/>
    <w:rsid w:val="00A66575"/>
    <w:rsid w:val="00A706AA"/>
    <w:rsid w:val="00A72B59"/>
    <w:rsid w:val="00A748C4"/>
    <w:rsid w:val="00A75619"/>
    <w:rsid w:val="00A75961"/>
    <w:rsid w:val="00A76023"/>
    <w:rsid w:val="00A76B0E"/>
    <w:rsid w:val="00A8126F"/>
    <w:rsid w:val="00A84074"/>
    <w:rsid w:val="00A90FE3"/>
    <w:rsid w:val="00A937A9"/>
    <w:rsid w:val="00A93915"/>
    <w:rsid w:val="00A95FA5"/>
    <w:rsid w:val="00AA4D4D"/>
    <w:rsid w:val="00AA6D08"/>
    <w:rsid w:val="00AA6E4C"/>
    <w:rsid w:val="00AA752A"/>
    <w:rsid w:val="00AA755D"/>
    <w:rsid w:val="00AB0467"/>
    <w:rsid w:val="00AB1046"/>
    <w:rsid w:val="00AB4185"/>
    <w:rsid w:val="00AB6E61"/>
    <w:rsid w:val="00AB715A"/>
    <w:rsid w:val="00AB7439"/>
    <w:rsid w:val="00AC1480"/>
    <w:rsid w:val="00AC40D2"/>
    <w:rsid w:val="00AC4C4A"/>
    <w:rsid w:val="00AC5900"/>
    <w:rsid w:val="00AD137E"/>
    <w:rsid w:val="00AD1E22"/>
    <w:rsid w:val="00AD3439"/>
    <w:rsid w:val="00AE2CF3"/>
    <w:rsid w:val="00AE6F75"/>
    <w:rsid w:val="00AF0821"/>
    <w:rsid w:val="00AF08ED"/>
    <w:rsid w:val="00AF2BB6"/>
    <w:rsid w:val="00AF3E59"/>
    <w:rsid w:val="00AF5075"/>
    <w:rsid w:val="00AF6DA9"/>
    <w:rsid w:val="00AF721B"/>
    <w:rsid w:val="00AF74D4"/>
    <w:rsid w:val="00B02C90"/>
    <w:rsid w:val="00B064AE"/>
    <w:rsid w:val="00B127F5"/>
    <w:rsid w:val="00B155E3"/>
    <w:rsid w:val="00B177D8"/>
    <w:rsid w:val="00B211BF"/>
    <w:rsid w:val="00B214B4"/>
    <w:rsid w:val="00B236B4"/>
    <w:rsid w:val="00B24BF1"/>
    <w:rsid w:val="00B33211"/>
    <w:rsid w:val="00B346B3"/>
    <w:rsid w:val="00B34E27"/>
    <w:rsid w:val="00B42E93"/>
    <w:rsid w:val="00B445D0"/>
    <w:rsid w:val="00B44C3A"/>
    <w:rsid w:val="00B44D68"/>
    <w:rsid w:val="00B462BC"/>
    <w:rsid w:val="00B66894"/>
    <w:rsid w:val="00B71F02"/>
    <w:rsid w:val="00B72E0E"/>
    <w:rsid w:val="00B7433D"/>
    <w:rsid w:val="00B74C30"/>
    <w:rsid w:val="00B77E47"/>
    <w:rsid w:val="00B84860"/>
    <w:rsid w:val="00B854E1"/>
    <w:rsid w:val="00B863F7"/>
    <w:rsid w:val="00B9078F"/>
    <w:rsid w:val="00B916CD"/>
    <w:rsid w:val="00B97025"/>
    <w:rsid w:val="00BA0E6F"/>
    <w:rsid w:val="00BA202D"/>
    <w:rsid w:val="00BA6E35"/>
    <w:rsid w:val="00BB5183"/>
    <w:rsid w:val="00BB7594"/>
    <w:rsid w:val="00BC486F"/>
    <w:rsid w:val="00BD055E"/>
    <w:rsid w:val="00BD0C82"/>
    <w:rsid w:val="00BD4536"/>
    <w:rsid w:val="00BD471F"/>
    <w:rsid w:val="00BD6C6A"/>
    <w:rsid w:val="00BE1A48"/>
    <w:rsid w:val="00BE2DC0"/>
    <w:rsid w:val="00BE3458"/>
    <w:rsid w:val="00BF0DF5"/>
    <w:rsid w:val="00BF44F7"/>
    <w:rsid w:val="00C070D2"/>
    <w:rsid w:val="00C07A53"/>
    <w:rsid w:val="00C16F2F"/>
    <w:rsid w:val="00C21450"/>
    <w:rsid w:val="00C22E62"/>
    <w:rsid w:val="00C27ED1"/>
    <w:rsid w:val="00C323DD"/>
    <w:rsid w:val="00C37588"/>
    <w:rsid w:val="00C40ECA"/>
    <w:rsid w:val="00C42152"/>
    <w:rsid w:val="00C4226A"/>
    <w:rsid w:val="00C44EEC"/>
    <w:rsid w:val="00C45A04"/>
    <w:rsid w:val="00C47867"/>
    <w:rsid w:val="00C51282"/>
    <w:rsid w:val="00C52AAC"/>
    <w:rsid w:val="00C5540A"/>
    <w:rsid w:val="00C55633"/>
    <w:rsid w:val="00C567FE"/>
    <w:rsid w:val="00C61664"/>
    <w:rsid w:val="00C66D44"/>
    <w:rsid w:val="00C67308"/>
    <w:rsid w:val="00C728E7"/>
    <w:rsid w:val="00C72FC6"/>
    <w:rsid w:val="00C73E7C"/>
    <w:rsid w:val="00C74ECB"/>
    <w:rsid w:val="00C7511A"/>
    <w:rsid w:val="00C756F8"/>
    <w:rsid w:val="00C81901"/>
    <w:rsid w:val="00C822B0"/>
    <w:rsid w:val="00C8653C"/>
    <w:rsid w:val="00C86C96"/>
    <w:rsid w:val="00C928F8"/>
    <w:rsid w:val="00C92F7E"/>
    <w:rsid w:val="00C93C4F"/>
    <w:rsid w:val="00C9405A"/>
    <w:rsid w:val="00C9498C"/>
    <w:rsid w:val="00CA2F8A"/>
    <w:rsid w:val="00CA413B"/>
    <w:rsid w:val="00CA4CD9"/>
    <w:rsid w:val="00CA5556"/>
    <w:rsid w:val="00CA5B72"/>
    <w:rsid w:val="00CB01B6"/>
    <w:rsid w:val="00CB5FB5"/>
    <w:rsid w:val="00CB77A6"/>
    <w:rsid w:val="00CC037E"/>
    <w:rsid w:val="00CC0EF3"/>
    <w:rsid w:val="00CC3EE1"/>
    <w:rsid w:val="00CC5BA3"/>
    <w:rsid w:val="00CD0D1B"/>
    <w:rsid w:val="00CD13FF"/>
    <w:rsid w:val="00CD4DF6"/>
    <w:rsid w:val="00CE0B52"/>
    <w:rsid w:val="00CE3EE4"/>
    <w:rsid w:val="00CE4B3A"/>
    <w:rsid w:val="00CF519D"/>
    <w:rsid w:val="00D0391E"/>
    <w:rsid w:val="00D048A4"/>
    <w:rsid w:val="00D051F1"/>
    <w:rsid w:val="00D10D7D"/>
    <w:rsid w:val="00D12127"/>
    <w:rsid w:val="00D12304"/>
    <w:rsid w:val="00D14F29"/>
    <w:rsid w:val="00D1655F"/>
    <w:rsid w:val="00D31D47"/>
    <w:rsid w:val="00D362F3"/>
    <w:rsid w:val="00D3653B"/>
    <w:rsid w:val="00D41980"/>
    <w:rsid w:val="00D439FF"/>
    <w:rsid w:val="00D47B4D"/>
    <w:rsid w:val="00D51E2E"/>
    <w:rsid w:val="00D52B6D"/>
    <w:rsid w:val="00D56A8A"/>
    <w:rsid w:val="00D634EC"/>
    <w:rsid w:val="00D63CD9"/>
    <w:rsid w:val="00D7041E"/>
    <w:rsid w:val="00D72675"/>
    <w:rsid w:val="00D7276F"/>
    <w:rsid w:val="00D72E33"/>
    <w:rsid w:val="00D7342F"/>
    <w:rsid w:val="00D73999"/>
    <w:rsid w:val="00D7561F"/>
    <w:rsid w:val="00D83094"/>
    <w:rsid w:val="00D857FF"/>
    <w:rsid w:val="00D85DEF"/>
    <w:rsid w:val="00D91129"/>
    <w:rsid w:val="00D951A3"/>
    <w:rsid w:val="00D97BC2"/>
    <w:rsid w:val="00D97EE4"/>
    <w:rsid w:val="00DB58BD"/>
    <w:rsid w:val="00DC6746"/>
    <w:rsid w:val="00DD4B03"/>
    <w:rsid w:val="00DD7F81"/>
    <w:rsid w:val="00DE00F3"/>
    <w:rsid w:val="00DE348D"/>
    <w:rsid w:val="00DF3569"/>
    <w:rsid w:val="00DF4E7B"/>
    <w:rsid w:val="00DF56D8"/>
    <w:rsid w:val="00E03CE6"/>
    <w:rsid w:val="00E133ED"/>
    <w:rsid w:val="00E24594"/>
    <w:rsid w:val="00E3180B"/>
    <w:rsid w:val="00E35B65"/>
    <w:rsid w:val="00E369FE"/>
    <w:rsid w:val="00E40627"/>
    <w:rsid w:val="00E4471A"/>
    <w:rsid w:val="00E54A45"/>
    <w:rsid w:val="00E55ACA"/>
    <w:rsid w:val="00E571B6"/>
    <w:rsid w:val="00E65F82"/>
    <w:rsid w:val="00E674EF"/>
    <w:rsid w:val="00E72108"/>
    <w:rsid w:val="00E75BC1"/>
    <w:rsid w:val="00E77B3E"/>
    <w:rsid w:val="00E82C2E"/>
    <w:rsid w:val="00E82E51"/>
    <w:rsid w:val="00E83541"/>
    <w:rsid w:val="00E84E36"/>
    <w:rsid w:val="00E9119E"/>
    <w:rsid w:val="00E9299A"/>
    <w:rsid w:val="00E95469"/>
    <w:rsid w:val="00E978D5"/>
    <w:rsid w:val="00E97E57"/>
    <w:rsid w:val="00EA5D5D"/>
    <w:rsid w:val="00EA6D04"/>
    <w:rsid w:val="00EA7519"/>
    <w:rsid w:val="00EA764C"/>
    <w:rsid w:val="00EA7A75"/>
    <w:rsid w:val="00EB0F9A"/>
    <w:rsid w:val="00EB1A4F"/>
    <w:rsid w:val="00EC0D6E"/>
    <w:rsid w:val="00EC3A6B"/>
    <w:rsid w:val="00EC536D"/>
    <w:rsid w:val="00ED0215"/>
    <w:rsid w:val="00ED50F9"/>
    <w:rsid w:val="00ED7F77"/>
    <w:rsid w:val="00EE22D5"/>
    <w:rsid w:val="00EF1C4B"/>
    <w:rsid w:val="00EF2244"/>
    <w:rsid w:val="00EF3A42"/>
    <w:rsid w:val="00EF6C60"/>
    <w:rsid w:val="00F01CF4"/>
    <w:rsid w:val="00F037AD"/>
    <w:rsid w:val="00F06024"/>
    <w:rsid w:val="00F13173"/>
    <w:rsid w:val="00F131F5"/>
    <w:rsid w:val="00F25EB9"/>
    <w:rsid w:val="00F26C70"/>
    <w:rsid w:val="00F27C48"/>
    <w:rsid w:val="00F35450"/>
    <w:rsid w:val="00F3647D"/>
    <w:rsid w:val="00F36ACD"/>
    <w:rsid w:val="00F36EF5"/>
    <w:rsid w:val="00F41913"/>
    <w:rsid w:val="00F41B85"/>
    <w:rsid w:val="00F479C7"/>
    <w:rsid w:val="00F54584"/>
    <w:rsid w:val="00F61316"/>
    <w:rsid w:val="00F6390D"/>
    <w:rsid w:val="00F66E6F"/>
    <w:rsid w:val="00F710F1"/>
    <w:rsid w:val="00F7312C"/>
    <w:rsid w:val="00F73E12"/>
    <w:rsid w:val="00F76648"/>
    <w:rsid w:val="00F833EB"/>
    <w:rsid w:val="00F87490"/>
    <w:rsid w:val="00F9639D"/>
    <w:rsid w:val="00F96D2A"/>
    <w:rsid w:val="00FA053F"/>
    <w:rsid w:val="00FA2EE3"/>
    <w:rsid w:val="00FA3423"/>
    <w:rsid w:val="00FA45B5"/>
    <w:rsid w:val="00FA6858"/>
    <w:rsid w:val="00FA6EA4"/>
    <w:rsid w:val="00FB2F6B"/>
    <w:rsid w:val="00FB33FD"/>
    <w:rsid w:val="00FB3DA9"/>
    <w:rsid w:val="00FB4A9D"/>
    <w:rsid w:val="00FB6F76"/>
    <w:rsid w:val="00FC431D"/>
    <w:rsid w:val="00FD0257"/>
    <w:rsid w:val="00FD60C5"/>
    <w:rsid w:val="00FD6475"/>
    <w:rsid w:val="00FD6D2C"/>
    <w:rsid w:val="00FD71AA"/>
    <w:rsid w:val="00FD7377"/>
    <w:rsid w:val="00FE48E9"/>
    <w:rsid w:val="00FE4C26"/>
    <w:rsid w:val="00FE670C"/>
    <w:rsid w:val="00FF0267"/>
    <w:rsid w:val="00FF0924"/>
    <w:rsid w:val="00FF167D"/>
    <w:rsid w:val="00FF3B6B"/>
    <w:rsid w:val="00FF5BDA"/>
    <w:rsid w:val="00FF75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FAB128"/>
  <w14:defaultImageDpi w14:val="0"/>
  <w15:docId w15:val="{59A3F9FE-B215-450E-B006-9E95D83B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A93915"/>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A93915"/>
    <w:pPr>
      <w:tabs>
        <w:tab w:val="center" w:pos="4536"/>
        <w:tab w:val="right" w:pos="9072"/>
      </w:tabs>
    </w:pPr>
    <w:rPr>
      <w:szCs w:val="20"/>
      <w:lang w:val="en-GB" w:eastAsia="en-US"/>
    </w:rPr>
  </w:style>
  <w:style w:type="character" w:customStyle="1" w:styleId="PisMrk">
    <w:name w:val="Päis Märk"/>
    <w:basedOn w:val="Liguvaikefont"/>
    <w:link w:val="Pis"/>
    <w:uiPriority w:val="99"/>
    <w:semiHidden/>
    <w:locked/>
    <w:rPr>
      <w:rFonts w:cs="Times New Roman"/>
      <w:sz w:val="24"/>
      <w:szCs w:val="24"/>
    </w:rPr>
  </w:style>
  <w:style w:type="paragraph" w:styleId="Kehatekst">
    <w:name w:val="Body Text"/>
    <w:basedOn w:val="Normaallaad"/>
    <w:link w:val="KehatekstMrk"/>
    <w:uiPriority w:val="99"/>
    <w:rsid w:val="00684723"/>
    <w:pPr>
      <w:jc w:val="both"/>
    </w:pPr>
    <w:rPr>
      <w:szCs w:val="20"/>
      <w:lang w:eastAsia="en-US"/>
    </w:rPr>
  </w:style>
  <w:style w:type="character" w:customStyle="1" w:styleId="KehatekstMrk">
    <w:name w:val="Kehatekst Märk"/>
    <w:basedOn w:val="Liguvaikefont"/>
    <w:link w:val="Kehatekst"/>
    <w:uiPriority w:val="99"/>
    <w:semiHidden/>
    <w:locked/>
    <w:rPr>
      <w:rFonts w:cs="Times New Roman"/>
      <w:sz w:val="24"/>
      <w:szCs w:val="24"/>
    </w:rPr>
  </w:style>
  <w:style w:type="paragraph" w:styleId="Dokumendiplaan">
    <w:name w:val="Document Map"/>
    <w:basedOn w:val="Normaallaad"/>
    <w:link w:val="DokumendiplaanMrk"/>
    <w:uiPriority w:val="99"/>
    <w:semiHidden/>
    <w:rsid w:val="002B0135"/>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ascii="Segoe UI" w:hAnsi="Segoe UI" w:cs="Segoe UI"/>
      <w:sz w:val="16"/>
      <w:szCs w:val="16"/>
    </w:rPr>
  </w:style>
  <w:style w:type="character" w:styleId="Hperlink">
    <w:name w:val="Hyperlink"/>
    <w:basedOn w:val="Liguvaikefont"/>
    <w:uiPriority w:val="99"/>
    <w:rsid w:val="000E2781"/>
    <w:rPr>
      <w:rFonts w:cs="Times New Roman"/>
      <w:color w:val="0000FF"/>
      <w:u w:val="none"/>
      <w:effect w:val="none"/>
    </w:rPr>
  </w:style>
  <w:style w:type="paragraph" w:styleId="Normaallaadveeb">
    <w:name w:val="Normal (Web)"/>
    <w:basedOn w:val="Normaallaad"/>
    <w:uiPriority w:val="99"/>
    <w:rsid w:val="007E5C26"/>
    <w:pPr>
      <w:spacing w:before="100" w:beforeAutospacing="1" w:after="100" w:afterAutospacing="1"/>
    </w:pPr>
  </w:style>
  <w:style w:type="paragraph" w:styleId="Jutumullitekst">
    <w:name w:val="Balloon Text"/>
    <w:basedOn w:val="Normaallaad"/>
    <w:link w:val="JutumullitekstMrk"/>
    <w:uiPriority w:val="99"/>
    <w:semiHidden/>
    <w:rsid w:val="004F2842"/>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customStyle="1" w:styleId="western">
    <w:name w:val="western"/>
    <w:basedOn w:val="Normaallaad"/>
    <w:rsid w:val="00707AD5"/>
    <w:pPr>
      <w:spacing w:before="100" w:beforeAutospacing="1"/>
      <w:jc w:val="both"/>
    </w:pPr>
    <w:rPr>
      <w:color w:val="000000"/>
    </w:rPr>
  </w:style>
  <w:style w:type="paragraph" w:styleId="Jalus">
    <w:name w:val="footer"/>
    <w:basedOn w:val="Normaallaad"/>
    <w:link w:val="JalusMrk"/>
    <w:uiPriority w:val="99"/>
    <w:rsid w:val="00B42E93"/>
    <w:pPr>
      <w:tabs>
        <w:tab w:val="center" w:pos="4536"/>
        <w:tab w:val="right" w:pos="9072"/>
      </w:tabs>
    </w:pPr>
  </w:style>
  <w:style w:type="character" w:customStyle="1" w:styleId="JalusMrk">
    <w:name w:val="Jalus Märk"/>
    <w:basedOn w:val="Liguvaikefont"/>
    <w:link w:val="Jalus"/>
    <w:uiPriority w:val="99"/>
    <w:semiHidden/>
    <w:locked/>
    <w:rPr>
      <w:rFonts w:cs="Times New Roman"/>
      <w:sz w:val="24"/>
      <w:szCs w:val="24"/>
    </w:rPr>
  </w:style>
  <w:style w:type="character" w:styleId="Lehekljenumber">
    <w:name w:val="page number"/>
    <w:basedOn w:val="Liguvaikefont"/>
    <w:uiPriority w:val="99"/>
    <w:rsid w:val="00B42E93"/>
    <w:rPr>
      <w:rFonts w:cs="Times New Roman"/>
    </w:rPr>
  </w:style>
  <w:style w:type="paragraph" w:styleId="Allmrkusetekst">
    <w:name w:val="footnote text"/>
    <w:basedOn w:val="Normaallaad"/>
    <w:link w:val="AllmrkusetekstMrk"/>
    <w:uiPriority w:val="99"/>
    <w:rsid w:val="00AB7439"/>
    <w:rPr>
      <w:sz w:val="20"/>
      <w:szCs w:val="20"/>
    </w:rPr>
  </w:style>
  <w:style w:type="character" w:customStyle="1" w:styleId="AllmrkusetekstMrk">
    <w:name w:val="Allmärkuse tekst Märk"/>
    <w:basedOn w:val="Liguvaikefont"/>
    <w:link w:val="Allmrkusetekst"/>
    <w:uiPriority w:val="99"/>
    <w:rsid w:val="00AB7439"/>
    <w:rPr>
      <w:rFonts w:cs="Times New Roman"/>
    </w:rPr>
  </w:style>
  <w:style w:type="character" w:styleId="Allmrkuseviide">
    <w:name w:val="footnote reference"/>
    <w:basedOn w:val="Liguvaikefont"/>
    <w:uiPriority w:val="99"/>
    <w:rsid w:val="00AB7439"/>
    <w:rPr>
      <w:rFonts w:cs="Times New Roman"/>
      <w:vertAlign w:val="superscript"/>
    </w:rPr>
  </w:style>
  <w:style w:type="character" w:styleId="Lahendamatamainimine">
    <w:name w:val="Unresolved Mention"/>
    <w:basedOn w:val="Liguvaikefont"/>
    <w:uiPriority w:val="99"/>
    <w:semiHidden/>
    <w:unhideWhenUsed/>
    <w:rsid w:val="00AB7439"/>
    <w:rPr>
      <w:rFonts w:cs="Times New Roman"/>
      <w:color w:val="605E5C"/>
      <w:shd w:val="clear" w:color="auto" w:fill="E1DFDD"/>
    </w:rPr>
  </w:style>
  <w:style w:type="paragraph" w:styleId="Redaktsioon">
    <w:name w:val="Revision"/>
    <w:hidden/>
    <w:uiPriority w:val="99"/>
    <w:semiHidden/>
    <w:rsid w:val="0094529A"/>
    <w:rPr>
      <w:sz w:val="24"/>
      <w:szCs w:val="24"/>
    </w:rPr>
  </w:style>
  <w:style w:type="character" w:styleId="Kommentaariviide">
    <w:name w:val="annotation reference"/>
    <w:basedOn w:val="Liguvaikefont"/>
    <w:rsid w:val="0094529A"/>
    <w:rPr>
      <w:sz w:val="16"/>
      <w:szCs w:val="16"/>
    </w:rPr>
  </w:style>
  <w:style w:type="paragraph" w:styleId="Kommentaaritekst">
    <w:name w:val="annotation text"/>
    <w:basedOn w:val="Normaallaad"/>
    <w:link w:val="KommentaaritekstMrk"/>
    <w:rsid w:val="0094529A"/>
    <w:rPr>
      <w:sz w:val="20"/>
      <w:szCs w:val="20"/>
    </w:rPr>
  </w:style>
  <w:style w:type="character" w:customStyle="1" w:styleId="KommentaaritekstMrk">
    <w:name w:val="Kommentaari tekst Märk"/>
    <w:basedOn w:val="Liguvaikefont"/>
    <w:link w:val="Kommentaaritekst"/>
    <w:rsid w:val="0094529A"/>
  </w:style>
  <w:style w:type="paragraph" w:styleId="Kommentaariteema">
    <w:name w:val="annotation subject"/>
    <w:basedOn w:val="Kommentaaritekst"/>
    <w:next w:val="Kommentaaritekst"/>
    <w:link w:val="KommentaariteemaMrk"/>
    <w:rsid w:val="0094529A"/>
    <w:rPr>
      <w:b/>
      <w:bCs/>
    </w:rPr>
  </w:style>
  <w:style w:type="character" w:customStyle="1" w:styleId="KommentaariteemaMrk">
    <w:name w:val="Kommentaari teema Märk"/>
    <w:basedOn w:val="KommentaaritekstMrk"/>
    <w:link w:val="Kommentaariteema"/>
    <w:rsid w:val="00945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5781">
      <w:marLeft w:val="0"/>
      <w:marRight w:val="0"/>
      <w:marTop w:val="0"/>
      <w:marBottom w:val="0"/>
      <w:divBdr>
        <w:top w:val="none" w:sz="0" w:space="0" w:color="auto"/>
        <w:left w:val="none" w:sz="0" w:space="0" w:color="auto"/>
        <w:bottom w:val="none" w:sz="0" w:space="0" w:color="auto"/>
        <w:right w:val="none" w:sz="0" w:space="0" w:color="auto"/>
      </w:divBdr>
      <w:divsChild>
        <w:div w:id="631985788">
          <w:marLeft w:val="0"/>
          <w:marRight w:val="0"/>
          <w:marTop w:val="0"/>
          <w:marBottom w:val="0"/>
          <w:divBdr>
            <w:top w:val="none" w:sz="0" w:space="0" w:color="auto"/>
            <w:left w:val="none" w:sz="0" w:space="0" w:color="auto"/>
            <w:bottom w:val="none" w:sz="0" w:space="0" w:color="auto"/>
            <w:right w:val="none" w:sz="0" w:space="0" w:color="auto"/>
          </w:divBdr>
        </w:div>
      </w:divsChild>
    </w:div>
    <w:div w:id="631985784">
      <w:marLeft w:val="0"/>
      <w:marRight w:val="0"/>
      <w:marTop w:val="0"/>
      <w:marBottom w:val="0"/>
      <w:divBdr>
        <w:top w:val="none" w:sz="0" w:space="0" w:color="auto"/>
        <w:left w:val="none" w:sz="0" w:space="0" w:color="auto"/>
        <w:bottom w:val="none" w:sz="0" w:space="0" w:color="auto"/>
        <w:right w:val="none" w:sz="0" w:space="0" w:color="auto"/>
      </w:divBdr>
      <w:divsChild>
        <w:div w:id="631985780">
          <w:marLeft w:val="0"/>
          <w:marRight w:val="0"/>
          <w:marTop w:val="0"/>
          <w:marBottom w:val="0"/>
          <w:divBdr>
            <w:top w:val="none" w:sz="0" w:space="0" w:color="auto"/>
            <w:left w:val="none" w:sz="0" w:space="0" w:color="auto"/>
            <w:bottom w:val="none" w:sz="0" w:space="0" w:color="auto"/>
            <w:right w:val="none" w:sz="0" w:space="0" w:color="auto"/>
          </w:divBdr>
        </w:div>
      </w:divsChild>
    </w:div>
    <w:div w:id="631985785">
      <w:marLeft w:val="0"/>
      <w:marRight w:val="0"/>
      <w:marTop w:val="0"/>
      <w:marBottom w:val="0"/>
      <w:divBdr>
        <w:top w:val="none" w:sz="0" w:space="0" w:color="auto"/>
        <w:left w:val="none" w:sz="0" w:space="0" w:color="auto"/>
        <w:bottom w:val="none" w:sz="0" w:space="0" w:color="auto"/>
        <w:right w:val="none" w:sz="0" w:space="0" w:color="auto"/>
      </w:divBdr>
    </w:div>
    <w:div w:id="631985786">
      <w:marLeft w:val="0"/>
      <w:marRight w:val="0"/>
      <w:marTop w:val="0"/>
      <w:marBottom w:val="0"/>
      <w:divBdr>
        <w:top w:val="none" w:sz="0" w:space="0" w:color="auto"/>
        <w:left w:val="none" w:sz="0" w:space="0" w:color="auto"/>
        <w:bottom w:val="none" w:sz="0" w:space="0" w:color="auto"/>
        <w:right w:val="none" w:sz="0" w:space="0" w:color="auto"/>
      </w:divBdr>
      <w:divsChild>
        <w:div w:id="631985793">
          <w:marLeft w:val="0"/>
          <w:marRight w:val="0"/>
          <w:marTop w:val="0"/>
          <w:marBottom w:val="0"/>
          <w:divBdr>
            <w:top w:val="none" w:sz="0" w:space="0" w:color="auto"/>
            <w:left w:val="none" w:sz="0" w:space="0" w:color="auto"/>
            <w:bottom w:val="none" w:sz="0" w:space="0" w:color="auto"/>
            <w:right w:val="none" w:sz="0" w:space="0" w:color="auto"/>
          </w:divBdr>
          <w:divsChild>
            <w:div w:id="631985782">
              <w:marLeft w:val="0"/>
              <w:marRight w:val="0"/>
              <w:marTop w:val="0"/>
              <w:marBottom w:val="0"/>
              <w:divBdr>
                <w:top w:val="none" w:sz="0" w:space="0" w:color="auto"/>
                <w:left w:val="none" w:sz="0" w:space="0" w:color="auto"/>
                <w:bottom w:val="none" w:sz="0" w:space="0" w:color="auto"/>
                <w:right w:val="none" w:sz="0" w:space="0" w:color="auto"/>
              </w:divBdr>
              <w:divsChild>
                <w:div w:id="631985783">
                  <w:marLeft w:val="0"/>
                  <w:marRight w:val="0"/>
                  <w:marTop w:val="0"/>
                  <w:marBottom w:val="0"/>
                  <w:divBdr>
                    <w:top w:val="none" w:sz="0" w:space="0" w:color="auto"/>
                    <w:left w:val="none" w:sz="0" w:space="0" w:color="auto"/>
                    <w:bottom w:val="none" w:sz="0" w:space="0" w:color="auto"/>
                    <w:right w:val="none" w:sz="0" w:space="0" w:color="auto"/>
                  </w:divBdr>
                  <w:divsChild>
                    <w:div w:id="6319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5789">
      <w:marLeft w:val="0"/>
      <w:marRight w:val="0"/>
      <w:marTop w:val="0"/>
      <w:marBottom w:val="0"/>
      <w:divBdr>
        <w:top w:val="none" w:sz="0" w:space="0" w:color="auto"/>
        <w:left w:val="none" w:sz="0" w:space="0" w:color="auto"/>
        <w:bottom w:val="none" w:sz="0" w:space="0" w:color="auto"/>
        <w:right w:val="none" w:sz="0" w:space="0" w:color="auto"/>
      </w:divBdr>
      <w:divsChild>
        <w:div w:id="631985787">
          <w:marLeft w:val="0"/>
          <w:marRight w:val="0"/>
          <w:marTop w:val="0"/>
          <w:marBottom w:val="0"/>
          <w:divBdr>
            <w:top w:val="none" w:sz="0" w:space="0" w:color="auto"/>
            <w:left w:val="none" w:sz="0" w:space="0" w:color="auto"/>
            <w:bottom w:val="none" w:sz="0" w:space="0" w:color="auto"/>
            <w:right w:val="none" w:sz="0" w:space="0" w:color="auto"/>
          </w:divBdr>
        </w:div>
      </w:divsChild>
    </w:div>
    <w:div w:id="631985791">
      <w:marLeft w:val="0"/>
      <w:marRight w:val="0"/>
      <w:marTop w:val="0"/>
      <w:marBottom w:val="0"/>
      <w:divBdr>
        <w:top w:val="none" w:sz="0" w:space="0" w:color="auto"/>
        <w:left w:val="none" w:sz="0" w:space="0" w:color="auto"/>
        <w:bottom w:val="none" w:sz="0" w:space="0" w:color="auto"/>
        <w:right w:val="none" w:sz="0" w:space="0" w:color="auto"/>
      </w:divBdr>
    </w:div>
    <w:div w:id="631985792">
      <w:marLeft w:val="0"/>
      <w:marRight w:val="0"/>
      <w:marTop w:val="0"/>
      <w:marBottom w:val="0"/>
      <w:divBdr>
        <w:top w:val="none" w:sz="0" w:space="0" w:color="auto"/>
        <w:left w:val="none" w:sz="0" w:space="0" w:color="auto"/>
        <w:bottom w:val="none" w:sz="0" w:space="0" w:color="auto"/>
        <w:right w:val="none" w:sz="0" w:space="0" w:color="auto"/>
      </w:divBdr>
    </w:div>
    <w:div w:id="631985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15ac4fd9-61f2-446d-b9f4-80e003028c36/"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E974-8A23-41A8-81B1-BFB40E5A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8305</Characters>
  <Application>Microsoft Office Word</Application>
  <DocSecurity>0</DocSecurity>
  <Lines>69</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Roos</dc:creator>
  <cp:keywords/>
  <dc:description/>
  <cp:lastModifiedBy>Maarja Oras</cp:lastModifiedBy>
  <cp:revision>2</cp:revision>
  <cp:lastPrinted>2010-08-17T13:50:00Z</cp:lastPrinted>
  <dcterms:created xsi:type="dcterms:W3CDTF">2024-06-13T07:47:00Z</dcterms:created>
  <dcterms:modified xsi:type="dcterms:W3CDTF">2024-06-13T07:47:00Z</dcterms:modified>
</cp:coreProperties>
</file>